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3EA" w:rsidRDefault="0038735E">
      <w:pPr>
        <w:rPr>
          <w:rFonts w:ascii="Geometr706 Md TL" w:hAnsi="Geometr706 Md TL"/>
        </w:rPr>
        <w:sectPr w:rsidR="00CA23EA" w:rsidSect="00CA23EA">
          <w:headerReference w:type="default" r:id="rId9"/>
          <w:footerReference w:type="default" r:id="rId10"/>
          <w:headerReference w:type="first" r:id="rId11"/>
          <w:type w:val="continuous"/>
          <w:pgSz w:w="11906" w:h="16838"/>
          <w:pgMar w:top="1440" w:right="1800" w:bottom="1440" w:left="1800" w:header="708" w:footer="708" w:gutter="0"/>
          <w:cols w:space="708"/>
          <w:titlePg/>
          <w:docGrid w:linePitch="360"/>
        </w:sectPr>
      </w:pPr>
      <w:bookmarkStart w:id="0" w:name="_GoBack"/>
      <w:bookmarkEnd w:id="0"/>
      <w:r w:rsidRPr="0038735E">
        <w:rPr>
          <w:rFonts w:ascii="Geometr706 Md TL" w:hAnsi="Geometr706 Md TL"/>
          <w:noProof/>
          <w:lang w:eastAsia="lv-LV"/>
        </w:rPr>
        <w:drawing>
          <wp:anchor distT="0" distB="0" distL="114300" distR="114300" simplePos="0" relativeHeight="251658240" behindDoc="0" locked="0" layoutInCell="1" allowOverlap="1" wp14:anchorId="57901290" wp14:editId="4D24FB86">
            <wp:simplePos x="0" y="0"/>
            <wp:positionH relativeFrom="column">
              <wp:posOffset>-1135068</wp:posOffset>
            </wp:positionH>
            <wp:positionV relativeFrom="paragraph">
              <wp:posOffset>3599789</wp:posOffset>
            </wp:positionV>
            <wp:extent cx="7569835" cy="60401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ks_parskatam.png"/>
                    <pic:cNvPicPr/>
                  </pic:nvPicPr>
                  <pic:blipFill>
                    <a:blip r:embed="rId12">
                      <a:extLst>
                        <a:ext uri="{28A0092B-C50C-407E-A947-70E740481C1C}">
                          <a14:useLocalDpi xmlns:a14="http://schemas.microsoft.com/office/drawing/2010/main" val="0"/>
                        </a:ext>
                      </a:extLst>
                    </a:blip>
                    <a:stretch>
                      <a:fillRect/>
                    </a:stretch>
                  </pic:blipFill>
                  <pic:spPr>
                    <a:xfrm>
                      <a:off x="0" y="0"/>
                      <a:ext cx="7569835" cy="6040120"/>
                    </a:xfrm>
                    <a:prstGeom prst="rect">
                      <a:avLst/>
                    </a:prstGeom>
                  </pic:spPr>
                </pic:pic>
              </a:graphicData>
            </a:graphic>
            <wp14:sizeRelH relativeFrom="page">
              <wp14:pctWidth>0</wp14:pctWidth>
            </wp14:sizeRelH>
            <wp14:sizeRelV relativeFrom="page">
              <wp14:pctHeight>0</wp14:pctHeight>
            </wp14:sizeRelV>
          </wp:anchor>
        </w:drawing>
      </w:r>
      <w:r w:rsidRPr="0038735E">
        <w:rPr>
          <w:rFonts w:ascii="Geometr706 Md TL" w:hAnsi="Geometr706 Md TL"/>
        </w:rPr>
        <w:br w:type="page"/>
      </w:r>
    </w:p>
    <w:sdt>
      <w:sdtPr>
        <w:rPr>
          <w:rFonts w:ascii="Geometr706 Md TL" w:eastAsia="Times New Roman" w:hAnsi="Geometr706 Md TL" w:cs="Times New Roman"/>
          <w:b w:val="0"/>
          <w:caps w:val="0"/>
          <w:color w:val="auto"/>
          <w:sz w:val="24"/>
          <w:szCs w:val="24"/>
          <w:lang w:val="lv-LV" w:eastAsia="lv-LV"/>
        </w:rPr>
        <w:id w:val="-162401401"/>
        <w:docPartObj>
          <w:docPartGallery w:val="Table of Contents"/>
          <w:docPartUnique/>
        </w:docPartObj>
      </w:sdtPr>
      <w:sdtEndPr>
        <w:rPr>
          <w:rFonts w:eastAsiaTheme="minorHAnsi" w:cstheme="minorBidi"/>
          <w:bCs/>
          <w:noProof/>
          <w:sz w:val="22"/>
          <w:szCs w:val="22"/>
          <w:lang w:eastAsia="en-US"/>
        </w:rPr>
      </w:sdtEndPr>
      <w:sdtContent>
        <w:p w:rsidR="0038735E" w:rsidRPr="00CA23EA" w:rsidRDefault="0038735E" w:rsidP="00CA23EA">
          <w:pPr>
            <w:pStyle w:val="TOCHeading"/>
            <w:spacing w:before="0" w:after="0"/>
            <w:jc w:val="center"/>
            <w:rPr>
              <w:rFonts w:ascii="Geometr706 Md TL" w:hAnsi="Geometr706 Md TL" w:cs="Times New Roman"/>
              <w:color w:val="auto"/>
              <w:sz w:val="28"/>
              <w:szCs w:val="28"/>
            </w:rPr>
          </w:pPr>
          <w:r w:rsidRPr="00CA23EA">
            <w:rPr>
              <w:rFonts w:ascii="Geometr706 Md TL" w:hAnsi="Geometr706 Md TL" w:cs="Times New Roman"/>
              <w:color w:val="auto"/>
              <w:sz w:val="28"/>
              <w:szCs w:val="28"/>
            </w:rPr>
            <w:t>saturs</w:t>
          </w:r>
        </w:p>
        <w:p w:rsidR="00CA23EA" w:rsidRDefault="0038735E" w:rsidP="00CA23EA">
          <w:pPr>
            <w:pStyle w:val="TOC1"/>
            <w:tabs>
              <w:tab w:val="right" w:leader="dot" w:pos="8647"/>
            </w:tabs>
            <w:ind w:right="-341" w:hanging="284"/>
            <w:rPr>
              <w:rFonts w:eastAsiaTheme="minorEastAsia" w:cstheme="minorBidi"/>
              <w:b w:val="0"/>
              <w:bCs w:val="0"/>
              <w:caps w:val="0"/>
              <w:noProof/>
              <w:sz w:val="22"/>
              <w:szCs w:val="22"/>
            </w:rPr>
          </w:pPr>
          <w:r w:rsidRPr="0038735E">
            <w:rPr>
              <w:rFonts w:ascii="Geometr706 Md TL" w:hAnsi="Geometr706 Md TL" w:cs="Times New Roman"/>
              <w:sz w:val="16"/>
              <w:szCs w:val="16"/>
            </w:rPr>
            <w:fldChar w:fldCharType="begin"/>
          </w:r>
          <w:r w:rsidRPr="0038735E">
            <w:rPr>
              <w:rFonts w:ascii="Geometr706 Md TL" w:hAnsi="Geometr706 Md TL" w:cs="Times New Roman"/>
              <w:sz w:val="16"/>
              <w:szCs w:val="16"/>
            </w:rPr>
            <w:instrText xml:space="preserve"> TOC \o "1-3" \h \z \u </w:instrText>
          </w:r>
          <w:r w:rsidRPr="0038735E">
            <w:rPr>
              <w:rFonts w:ascii="Geometr706 Md TL" w:hAnsi="Geometr706 Md TL" w:cs="Times New Roman"/>
              <w:sz w:val="16"/>
              <w:szCs w:val="16"/>
            </w:rPr>
            <w:fldChar w:fldCharType="separate"/>
          </w:r>
          <w:hyperlink w:anchor="_Toc392836091" w:history="1">
            <w:r w:rsidR="00CA23EA" w:rsidRPr="000378DE">
              <w:rPr>
                <w:rStyle w:val="Hyperlink"/>
                <w:rFonts w:ascii="Geometr706 Md TL" w:eastAsiaTheme="majorEastAsia" w:hAnsi="Geometr706 Md TL"/>
                <w:noProof/>
              </w:rPr>
              <w:t>1. Pamatinformācija</w:t>
            </w:r>
            <w:r w:rsidR="00CA23EA">
              <w:rPr>
                <w:noProof/>
                <w:webHidden/>
              </w:rPr>
              <w:tab/>
            </w:r>
            <w:r w:rsidR="00CA23EA">
              <w:rPr>
                <w:noProof/>
                <w:webHidden/>
              </w:rPr>
              <w:fldChar w:fldCharType="begin"/>
            </w:r>
            <w:r w:rsidR="00CA23EA">
              <w:rPr>
                <w:noProof/>
                <w:webHidden/>
              </w:rPr>
              <w:instrText xml:space="preserve"> PAGEREF _Toc392836091 \h </w:instrText>
            </w:r>
            <w:r w:rsidR="00CA23EA">
              <w:rPr>
                <w:noProof/>
                <w:webHidden/>
              </w:rPr>
            </w:r>
            <w:r w:rsidR="00CA23EA">
              <w:rPr>
                <w:noProof/>
                <w:webHidden/>
              </w:rPr>
              <w:fldChar w:fldCharType="separate"/>
            </w:r>
            <w:r w:rsidR="000C128D">
              <w:rPr>
                <w:noProof/>
                <w:webHidden/>
              </w:rPr>
              <w:t>5</w:t>
            </w:r>
            <w:r w:rsidR="00CA23EA">
              <w:rPr>
                <w:noProof/>
                <w:webHidden/>
              </w:rPr>
              <w:fldChar w:fldCharType="end"/>
            </w:r>
          </w:hyperlink>
        </w:p>
        <w:p w:rsidR="00CA23EA" w:rsidRDefault="00C46CAD" w:rsidP="00CA23EA">
          <w:pPr>
            <w:pStyle w:val="TOC2"/>
            <w:tabs>
              <w:tab w:val="right" w:leader="dot" w:pos="8647"/>
            </w:tabs>
            <w:ind w:right="-341" w:hanging="284"/>
            <w:rPr>
              <w:rFonts w:eastAsiaTheme="minorEastAsia" w:cstheme="minorBidi"/>
              <w:smallCaps w:val="0"/>
              <w:noProof/>
              <w:sz w:val="22"/>
              <w:szCs w:val="22"/>
            </w:rPr>
          </w:pPr>
          <w:hyperlink w:anchor="_Toc392836092" w:history="1">
            <w:r w:rsidR="00CA23EA" w:rsidRPr="000378DE">
              <w:rPr>
                <w:rStyle w:val="Hyperlink"/>
                <w:rFonts w:ascii="Geometr706 Md TL" w:eastAsiaTheme="majorEastAsia" w:hAnsi="Geometr706 Md TL"/>
                <w:noProof/>
              </w:rPr>
              <w:t>1.1. PTAC juridiskais statuss, izveidošana</w:t>
            </w:r>
            <w:r w:rsidR="00CA23EA">
              <w:rPr>
                <w:noProof/>
                <w:webHidden/>
              </w:rPr>
              <w:tab/>
            </w:r>
            <w:r w:rsidR="00CA23EA">
              <w:rPr>
                <w:noProof/>
                <w:webHidden/>
              </w:rPr>
              <w:fldChar w:fldCharType="begin"/>
            </w:r>
            <w:r w:rsidR="00CA23EA">
              <w:rPr>
                <w:noProof/>
                <w:webHidden/>
              </w:rPr>
              <w:instrText xml:space="preserve"> PAGEREF _Toc392836092 \h </w:instrText>
            </w:r>
            <w:r w:rsidR="00CA23EA">
              <w:rPr>
                <w:noProof/>
                <w:webHidden/>
              </w:rPr>
            </w:r>
            <w:r w:rsidR="00CA23EA">
              <w:rPr>
                <w:noProof/>
                <w:webHidden/>
              </w:rPr>
              <w:fldChar w:fldCharType="separate"/>
            </w:r>
            <w:r w:rsidR="000C128D">
              <w:rPr>
                <w:noProof/>
                <w:webHidden/>
              </w:rPr>
              <w:t>5</w:t>
            </w:r>
            <w:r w:rsidR="00CA23EA">
              <w:rPr>
                <w:noProof/>
                <w:webHidden/>
              </w:rPr>
              <w:fldChar w:fldCharType="end"/>
            </w:r>
          </w:hyperlink>
        </w:p>
        <w:p w:rsidR="00CA23EA" w:rsidRDefault="00C46CAD" w:rsidP="00CA23EA">
          <w:pPr>
            <w:pStyle w:val="TOC2"/>
            <w:tabs>
              <w:tab w:val="right" w:leader="dot" w:pos="8647"/>
            </w:tabs>
            <w:ind w:right="-341" w:hanging="284"/>
            <w:rPr>
              <w:rFonts w:eastAsiaTheme="minorEastAsia" w:cstheme="minorBidi"/>
              <w:smallCaps w:val="0"/>
              <w:noProof/>
              <w:sz w:val="22"/>
              <w:szCs w:val="22"/>
            </w:rPr>
          </w:pPr>
          <w:hyperlink w:anchor="_Toc392836093" w:history="1">
            <w:r w:rsidR="00CA23EA" w:rsidRPr="000378DE">
              <w:rPr>
                <w:rStyle w:val="Hyperlink"/>
                <w:rFonts w:ascii="Geometr706 Md TL" w:eastAsiaTheme="majorEastAsia" w:hAnsi="Geometr706 Md TL"/>
                <w:noProof/>
              </w:rPr>
              <w:t>1.2. Politikas jomas un darbības jomas</w:t>
            </w:r>
            <w:r w:rsidR="00CA23EA">
              <w:rPr>
                <w:noProof/>
                <w:webHidden/>
              </w:rPr>
              <w:tab/>
            </w:r>
            <w:r w:rsidR="00CA23EA">
              <w:rPr>
                <w:noProof/>
                <w:webHidden/>
              </w:rPr>
              <w:fldChar w:fldCharType="begin"/>
            </w:r>
            <w:r w:rsidR="00CA23EA">
              <w:rPr>
                <w:noProof/>
                <w:webHidden/>
              </w:rPr>
              <w:instrText xml:space="preserve"> PAGEREF _Toc392836093 \h </w:instrText>
            </w:r>
            <w:r w:rsidR="00CA23EA">
              <w:rPr>
                <w:noProof/>
                <w:webHidden/>
              </w:rPr>
            </w:r>
            <w:r w:rsidR="00CA23EA">
              <w:rPr>
                <w:noProof/>
                <w:webHidden/>
              </w:rPr>
              <w:fldChar w:fldCharType="separate"/>
            </w:r>
            <w:r w:rsidR="000C128D">
              <w:rPr>
                <w:noProof/>
                <w:webHidden/>
              </w:rPr>
              <w:t>6</w:t>
            </w:r>
            <w:r w:rsidR="00CA23EA">
              <w:rPr>
                <w:noProof/>
                <w:webHidden/>
              </w:rPr>
              <w:fldChar w:fldCharType="end"/>
            </w:r>
          </w:hyperlink>
        </w:p>
        <w:p w:rsidR="00CA23EA" w:rsidRDefault="00C46CAD" w:rsidP="00CA23EA">
          <w:pPr>
            <w:pStyle w:val="TOC2"/>
            <w:tabs>
              <w:tab w:val="right" w:leader="dot" w:pos="8647"/>
            </w:tabs>
            <w:ind w:right="-341" w:hanging="284"/>
            <w:rPr>
              <w:rFonts w:eastAsiaTheme="minorEastAsia" w:cstheme="minorBidi"/>
              <w:smallCaps w:val="0"/>
              <w:noProof/>
              <w:sz w:val="22"/>
              <w:szCs w:val="22"/>
            </w:rPr>
          </w:pPr>
          <w:hyperlink w:anchor="_Toc392836094" w:history="1">
            <w:r w:rsidR="00CA23EA" w:rsidRPr="000378DE">
              <w:rPr>
                <w:rStyle w:val="Hyperlink"/>
                <w:rFonts w:ascii="Geometr706 Md TL" w:eastAsiaTheme="majorEastAsia" w:hAnsi="Geometr706 Md TL"/>
                <w:noProof/>
              </w:rPr>
              <w:t>1.3. Galvenās pārskata gada prioritātes</w:t>
            </w:r>
            <w:r w:rsidR="00CA23EA">
              <w:rPr>
                <w:noProof/>
                <w:webHidden/>
              </w:rPr>
              <w:tab/>
            </w:r>
            <w:r w:rsidR="00CA23EA">
              <w:rPr>
                <w:noProof/>
                <w:webHidden/>
              </w:rPr>
              <w:fldChar w:fldCharType="begin"/>
            </w:r>
            <w:r w:rsidR="00CA23EA">
              <w:rPr>
                <w:noProof/>
                <w:webHidden/>
              </w:rPr>
              <w:instrText xml:space="preserve"> PAGEREF _Toc392836094 \h </w:instrText>
            </w:r>
            <w:r w:rsidR="00CA23EA">
              <w:rPr>
                <w:noProof/>
                <w:webHidden/>
              </w:rPr>
            </w:r>
            <w:r w:rsidR="00CA23EA">
              <w:rPr>
                <w:noProof/>
                <w:webHidden/>
              </w:rPr>
              <w:fldChar w:fldCharType="separate"/>
            </w:r>
            <w:r w:rsidR="000C128D">
              <w:rPr>
                <w:noProof/>
                <w:webHidden/>
              </w:rPr>
              <w:t>7</w:t>
            </w:r>
            <w:r w:rsidR="00CA23EA">
              <w:rPr>
                <w:noProof/>
                <w:webHidden/>
              </w:rPr>
              <w:fldChar w:fldCharType="end"/>
            </w:r>
          </w:hyperlink>
        </w:p>
        <w:p w:rsidR="00CA23EA" w:rsidRDefault="00C46CAD" w:rsidP="00CA23EA">
          <w:pPr>
            <w:pStyle w:val="TOC1"/>
            <w:tabs>
              <w:tab w:val="right" w:leader="dot" w:pos="8647"/>
            </w:tabs>
            <w:ind w:right="-341" w:hanging="284"/>
            <w:rPr>
              <w:rFonts w:eastAsiaTheme="minorEastAsia" w:cstheme="minorBidi"/>
              <w:b w:val="0"/>
              <w:bCs w:val="0"/>
              <w:caps w:val="0"/>
              <w:noProof/>
              <w:sz w:val="22"/>
              <w:szCs w:val="22"/>
            </w:rPr>
          </w:pPr>
          <w:hyperlink w:anchor="_Toc392836095" w:history="1">
            <w:r w:rsidR="00CA23EA" w:rsidRPr="000378DE">
              <w:rPr>
                <w:rStyle w:val="Hyperlink"/>
                <w:rFonts w:ascii="Geometr706 Md TL" w:eastAsiaTheme="majorEastAsia" w:hAnsi="Geometr706 Md TL"/>
                <w:noProof/>
              </w:rPr>
              <w:t>2. Finanšu resursi un iestādes darbības rezultāti</w:t>
            </w:r>
            <w:r w:rsidR="00CA23EA">
              <w:rPr>
                <w:noProof/>
                <w:webHidden/>
              </w:rPr>
              <w:tab/>
            </w:r>
            <w:r w:rsidR="00CA23EA">
              <w:rPr>
                <w:noProof/>
                <w:webHidden/>
              </w:rPr>
              <w:fldChar w:fldCharType="begin"/>
            </w:r>
            <w:r w:rsidR="00CA23EA">
              <w:rPr>
                <w:noProof/>
                <w:webHidden/>
              </w:rPr>
              <w:instrText xml:space="preserve"> PAGEREF _Toc392836095 \h </w:instrText>
            </w:r>
            <w:r w:rsidR="00CA23EA">
              <w:rPr>
                <w:noProof/>
                <w:webHidden/>
              </w:rPr>
            </w:r>
            <w:r w:rsidR="00CA23EA">
              <w:rPr>
                <w:noProof/>
                <w:webHidden/>
              </w:rPr>
              <w:fldChar w:fldCharType="separate"/>
            </w:r>
            <w:r w:rsidR="000C128D">
              <w:rPr>
                <w:noProof/>
                <w:webHidden/>
              </w:rPr>
              <w:t>8</w:t>
            </w:r>
            <w:r w:rsidR="00CA23EA">
              <w:rPr>
                <w:noProof/>
                <w:webHidden/>
              </w:rPr>
              <w:fldChar w:fldCharType="end"/>
            </w:r>
          </w:hyperlink>
        </w:p>
        <w:p w:rsidR="00CA23EA" w:rsidRDefault="00C46CAD" w:rsidP="00CA23EA">
          <w:pPr>
            <w:pStyle w:val="TOC2"/>
            <w:tabs>
              <w:tab w:val="right" w:leader="dot" w:pos="8647"/>
            </w:tabs>
            <w:ind w:right="-341" w:hanging="284"/>
            <w:rPr>
              <w:rFonts w:eastAsiaTheme="minorEastAsia" w:cstheme="minorBidi"/>
              <w:smallCaps w:val="0"/>
              <w:noProof/>
              <w:sz w:val="22"/>
              <w:szCs w:val="22"/>
            </w:rPr>
          </w:pPr>
          <w:hyperlink w:anchor="_Toc392836096" w:history="1">
            <w:r w:rsidR="00CA23EA" w:rsidRPr="000378DE">
              <w:rPr>
                <w:rStyle w:val="Hyperlink"/>
                <w:rFonts w:ascii="Geometr706 Md TL" w:eastAsiaTheme="majorEastAsia" w:hAnsi="Geometr706 Md TL"/>
                <w:noProof/>
                <w:lang w:eastAsia="en-US"/>
              </w:rPr>
              <w:t>2.1. Valsts budžeta finansējums un izlietojums</w:t>
            </w:r>
            <w:r w:rsidR="00CA23EA">
              <w:rPr>
                <w:noProof/>
                <w:webHidden/>
              </w:rPr>
              <w:tab/>
            </w:r>
            <w:r w:rsidR="00CA23EA">
              <w:rPr>
                <w:noProof/>
                <w:webHidden/>
              </w:rPr>
              <w:fldChar w:fldCharType="begin"/>
            </w:r>
            <w:r w:rsidR="00CA23EA">
              <w:rPr>
                <w:noProof/>
                <w:webHidden/>
              </w:rPr>
              <w:instrText xml:space="preserve"> PAGEREF _Toc392836096 \h </w:instrText>
            </w:r>
            <w:r w:rsidR="00CA23EA">
              <w:rPr>
                <w:noProof/>
                <w:webHidden/>
              </w:rPr>
            </w:r>
            <w:r w:rsidR="00CA23EA">
              <w:rPr>
                <w:noProof/>
                <w:webHidden/>
              </w:rPr>
              <w:fldChar w:fldCharType="separate"/>
            </w:r>
            <w:r w:rsidR="000C128D">
              <w:rPr>
                <w:noProof/>
                <w:webHidden/>
              </w:rPr>
              <w:t>8</w:t>
            </w:r>
            <w:r w:rsidR="00CA23EA">
              <w:rPr>
                <w:noProof/>
                <w:webHidden/>
              </w:rPr>
              <w:fldChar w:fldCharType="end"/>
            </w:r>
          </w:hyperlink>
        </w:p>
        <w:p w:rsidR="00CA23EA" w:rsidRDefault="00C46CAD" w:rsidP="00CA23EA">
          <w:pPr>
            <w:pStyle w:val="TOC2"/>
            <w:tabs>
              <w:tab w:val="right" w:leader="dot" w:pos="8647"/>
            </w:tabs>
            <w:ind w:right="-341" w:hanging="284"/>
            <w:rPr>
              <w:rFonts w:eastAsiaTheme="minorEastAsia" w:cstheme="minorBidi"/>
              <w:smallCaps w:val="0"/>
              <w:noProof/>
              <w:sz w:val="22"/>
              <w:szCs w:val="22"/>
            </w:rPr>
          </w:pPr>
          <w:hyperlink w:anchor="_Toc392836097" w:history="1">
            <w:r w:rsidR="00CA23EA" w:rsidRPr="000378DE">
              <w:rPr>
                <w:rStyle w:val="Hyperlink"/>
                <w:rFonts w:ascii="Geometr706 Md TL" w:eastAsiaTheme="majorEastAsia" w:hAnsi="Geometr706 Md TL"/>
                <w:noProof/>
              </w:rPr>
              <w:t>2.2. Rezultatīvo rādītāju izpildes analīze un valsts budžeta līdzekļu efektivitātes izvērtējums</w:t>
            </w:r>
            <w:r w:rsidR="00CA23EA">
              <w:rPr>
                <w:noProof/>
                <w:webHidden/>
              </w:rPr>
              <w:tab/>
            </w:r>
            <w:r w:rsidR="00CA23EA">
              <w:rPr>
                <w:noProof/>
                <w:webHidden/>
              </w:rPr>
              <w:fldChar w:fldCharType="begin"/>
            </w:r>
            <w:r w:rsidR="00CA23EA">
              <w:rPr>
                <w:noProof/>
                <w:webHidden/>
              </w:rPr>
              <w:instrText xml:space="preserve"> PAGEREF _Toc392836097 \h </w:instrText>
            </w:r>
            <w:r w:rsidR="00CA23EA">
              <w:rPr>
                <w:noProof/>
                <w:webHidden/>
              </w:rPr>
            </w:r>
            <w:r w:rsidR="00CA23EA">
              <w:rPr>
                <w:noProof/>
                <w:webHidden/>
              </w:rPr>
              <w:fldChar w:fldCharType="separate"/>
            </w:r>
            <w:r w:rsidR="000C128D">
              <w:rPr>
                <w:noProof/>
                <w:webHidden/>
              </w:rPr>
              <w:t>9</w:t>
            </w:r>
            <w:r w:rsidR="00CA23EA">
              <w:rPr>
                <w:noProof/>
                <w:webHidden/>
              </w:rPr>
              <w:fldChar w:fldCharType="end"/>
            </w:r>
          </w:hyperlink>
        </w:p>
        <w:p w:rsidR="00CA23EA" w:rsidRDefault="00C46CAD" w:rsidP="00CA23EA">
          <w:pPr>
            <w:pStyle w:val="TOC2"/>
            <w:tabs>
              <w:tab w:val="right" w:leader="dot" w:pos="8647"/>
            </w:tabs>
            <w:ind w:right="-341" w:hanging="284"/>
            <w:rPr>
              <w:rFonts w:eastAsiaTheme="minorEastAsia" w:cstheme="minorBidi"/>
              <w:smallCaps w:val="0"/>
              <w:noProof/>
              <w:sz w:val="22"/>
              <w:szCs w:val="22"/>
            </w:rPr>
          </w:pPr>
          <w:hyperlink w:anchor="_Toc392836098" w:history="1">
            <w:r w:rsidR="00CA23EA" w:rsidRPr="000378DE">
              <w:rPr>
                <w:rStyle w:val="Hyperlink"/>
                <w:rFonts w:ascii="Geometr706 Md TL" w:eastAsiaTheme="majorEastAsia" w:hAnsi="Geometr706 Md TL"/>
                <w:noProof/>
              </w:rPr>
              <w:t>2.3. PTAC darbības rezultāti 2013. gadā un to izvērtējums</w:t>
            </w:r>
            <w:r w:rsidR="00CA23EA">
              <w:rPr>
                <w:noProof/>
                <w:webHidden/>
              </w:rPr>
              <w:tab/>
            </w:r>
            <w:r w:rsidR="00CA23EA">
              <w:rPr>
                <w:noProof/>
                <w:webHidden/>
              </w:rPr>
              <w:fldChar w:fldCharType="begin"/>
            </w:r>
            <w:r w:rsidR="00CA23EA">
              <w:rPr>
                <w:noProof/>
                <w:webHidden/>
              </w:rPr>
              <w:instrText xml:space="preserve"> PAGEREF _Toc392836098 \h </w:instrText>
            </w:r>
            <w:r w:rsidR="00CA23EA">
              <w:rPr>
                <w:noProof/>
                <w:webHidden/>
              </w:rPr>
            </w:r>
            <w:r w:rsidR="00CA23EA">
              <w:rPr>
                <w:noProof/>
                <w:webHidden/>
              </w:rPr>
              <w:fldChar w:fldCharType="separate"/>
            </w:r>
            <w:r w:rsidR="000C128D">
              <w:rPr>
                <w:noProof/>
                <w:webHidden/>
              </w:rPr>
              <w:t>10</w:t>
            </w:r>
            <w:r w:rsidR="00CA23EA">
              <w:rPr>
                <w:noProof/>
                <w:webHidden/>
              </w:rPr>
              <w:fldChar w:fldCharType="end"/>
            </w:r>
          </w:hyperlink>
        </w:p>
        <w:p w:rsidR="00CA23EA" w:rsidRDefault="00C46CAD" w:rsidP="00CA23EA">
          <w:pPr>
            <w:pStyle w:val="TOC3"/>
            <w:tabs>
              <w:tab w:val="right" w:leader="dot" w:pos="8647"/>
            </w:tabs>
            <w:ind w:right="-341" w:hanging="284"/>
            <w:rPr>
              <w:rFonts w:eastAsiaTheme="minorEastAsia" w:cstheme="minorBidi"/>
              <w:i w:val="0"/>
              <w:iCs w:val="0"/>
              <w:noProof/>
              <w:sz w:val="22"/>
              <w:szCs w:val="22"/>
            </w:rPr>
          </w:pPr>
          <w:hyperlink w:anchor="_Toc392836099" w:history="1">
            <w:r w:rsidR="00CA23EA" w:rsidRPr="000378DE">
              <w:rPr>
                <w:rStyle w:val="Hyperlink"/>
                <w:rFonts w:ascii="Geometr706 Md TL" w:eastAsiaTheme="majorEastAsia" w:hAnsi="Geometr706 Md TL"/>
                <w:noProof/>
              </w:rPr>
              <w:t>2.3.1. Patērētāju tiesību uzraudzība, tostarp administratīvā sadarbība Eiropas Savienibā</w:t>
            </w:r>
            <w:r w:rsidR="00CA23EA">
              <w:rPr>
                <w:noProof/>
                <w:webHidden/>
              </w:rPr>
              <w:tab/>
            </w:r>
            <w:r w:rsidR="00CA23EA">
              <w:rPr>
                <w:noProof/>
                <w:webHidden/>
              </w:rPr>
              <w:fldChar w:fldCharType="begin"/>
            </w:r>
            <w:r w:rsidR="00CA23EA">
              <w:rPr>
                <w:noProof/>
                <w:webHidden/>
              </w:rPr>
              <w:instrText xml:space="preserve"> PAGEREF _Toc392836099 \h </w:instrText>
            </w:r>
            <w:r w:rsidR="00CA23EA">
              <w:rPr>
                <w:noProof/>
                <w:webHidden/>
              </w:rPr>
            </w:r>
            <w:r w:rsidR="00CA23EA">
              <w:rPr>
                <w:noProof/>
                <w:webHidden/>
              </w:rPr>
              <w:fldChar w:fldCharType="separate"/>
            </w:r>
            <w:r w:rsidR="000C128D">
              <w:rPr>
                <w:noProof/>
                <w:webHidden/>
              </w:rPr>
              <w:t>10</w:t>
            </w:r>
            <w:r w:rsidR="00CA23EA">
              <w:rPr>
                <w:noProof/>
                <w:webHidden/>
              </w:rPr>
              <w:fldChar w:fldCharType="end"/>
            </w:r>
          </w:hyperlink>
        </w:p>
        <w:p w:rsidR="00CA23EA" w:rsidRDefault="00C46CAD" w:rsidP="00CA23EA">
          <w:pPr>
            <w:pStyle w:val="TOC3"/>
            <w:tabs>
              <w:tab w:val="right" w:leader="dot" w:pos="8647"/>
            </w:tabs>
            <w:ind w:right="-341" w:hanging="284"/>
            <w:rPr>
              <w:rFonts w:eastAsiaTheme="minorEastAsia" w:cstheme="minorBidi"/>
              <w:i w:val="0"/>
              <w:iCs w:val="0"/>
              <w:noProof/>
              <w:sz w:val="22"/>
              <w:szCs w:val="22"/>
            </w:rPr>
          </w:pPr>
          <w:hyperlink w:anchor="_Toc392836100" w:history="1">
            <w:r w:rsidR="00CA23EA" w:rsidRPr="000378DE">
              <w:rPr>
                <w:rStyle w:val="Hyperlink"/>
                <w:rFonts w:ascii="Geometr706 Md TL" w:eastAsiaTheme="majorEastAsia" w:hAnsi="Geometr706 Md TL"/>
                <w:noProof/>
              </w:rPr>
              <w:t>2.3.2. Preču un pakalpojumu uzraudzība</w:t>
            </w:r>
            <w:r w:rsidR="00CA23EA">
              <w:rPr>
                <w:noProof/>
                <w:webHidden/>
              </w:rPr>
              <w:tab/>
            </w:r>
            <w:r w:rsidR="00CA23EA">
              <w:rPr>
                <w:noProof/>
                <w:webHidden/>
              </w:rPr>
              <w:fldChar w:fldCharType="begin"/>
            </w:r>
            <w:r w:rsidR="00CA23EA">
              <w:rPr>
                <w:noProof/>
                <w:webHidden/>
              </w:rPr>
              <w:instrText xml:space="preserve"> PAGEREF _Toc392836100 \h </w:instrText>
            </w:r>
            <w:r w:rsidR="00CA23EA">
              <w:rPr>
                <w:noProof/>
                <w:webHidden/>
              </w:rPr>
            </w:r>
            <w:r w:rsidR="00CA23EA">
              <w:rPr>
                <w:noProof/>
                <w:webHidden/>
              </w:rPr>
              <w:fldChar w:fldCharType="separate"/>
            </w:r>
            <w:r w:rsidR="000C128D">
              <w:rPr>
                <w:noProof/>
                <w:webHidden/>
              </w:rPr>
              <w:t>23</w:t>
            </w:r>
            <w:r w:rsidR="00CA23EA">
              <w:rPr>
                <w:noProof/>
                <w:webHidden/>
              </w:rPr>
              <w:fldChar w:fldCharType="end"/>
            </w:r>
          </w:hyperlink>
        </w:p>
        <w:p w:rsidR="00CA23EA" w:rsidRDefault="00C46CAD" w:rsidP="00CA23EA">
          <w:pPr>
            <w:pStyle w:val="TOC3"/>
            <w:tabs>
              <w:tab w:val="right" w:leader="dot" w:pos="8647"/>
            </w:tabs>
            <w:ind w:right="-341" w:hanging="284"/>
            <w:rPr>
              <w:rFonts w:eastAsiaTheme="minorEastAsia" w:cstheme="minorBidi"/>
              <w:i w:val="0"/>
              <w:iCs w:val="0"/>
              <w:noProof/>
              <w:sz w:val="22"/>
              <w:szCs w:val="22"/>
            </w:rPr>
          </w:pPr>
          <w:hyperlink w:anchor="_Toc392836101" w:history="1">
            <w:r w:rsidR="00CA23EA" w:rsidRPr="000378DE">
              <w:rPr>
                <w:rStyle w:val="Hyperlink"/>
                <w:rFonts w:ascii="Geometr706 Md TL" w:eastAsiaTheme="majorEastAsia" w:hAnsi="Geometr706 Md TL"/>
                <w:noProof/>
              </w:rPr>
              <w:t>2.3.3. Informācijas apmaiņa par bīstamām precēm (RAPEX)</w:t>
            </w:r>
            <w:r w:rsidR="00CA23EA">
              <w:rPr>
                <w:noProof/>
                <w:webHidden/>
              </w:rPr>
              <w:tab/>
            </w:r>
            <w:r w:rsidR="00CA23EA">
              <w:rPr>
                <w:noProof/>
                <w:webHidden/>
              </w:rPr>
              <w:fldChar w:fldCharType="begin"/>
            </w:r>
            <w:r w:rsidR="00CA23EA">
              <w:rPr>
                <w:noProof/>
                <w:webHidden/>
              </w:rPr>
              <w:instrText xml:space="preserve"> PAGEREF _Toc392836101 \h </w:instrText>
            </w:r>
            <w:r w:rsidR="00CA23EA">
              <w:rPr>
                <w:noProof/>
                <w:webHidden/>
              </w:rPr>
            </w:r>
            <w:r w:rsidR="00CA23EA">
              <w:rPr>
                <w:noProof/>
                <w:webHidden/>
              </w:rPr>
              <w:fldChar w:fldCharType="separate"/>
            </w:r>
            <w:r w:rsidR="000C128D">
              <w:rPr>
                <w:noProof/>
                <w:webHidden/>
              </w:rPr>
              <w:t>33</w:t>
            </w:r>
            <w:r w:rsidR="00CA23EA">
              <w:rPr>
                <w:noProof/>
                <w:webHidden/>
              </w:rPr>
              <w:fldChar w:fldCharType="end"/>
            </w:r>
          </w:hyperlink>
        </w:p>
        <w:p w:rsidR="00CA23EA" w:rsidRDefault="00C46CAD" w:rsidP="00CA23EA">
          <w:pPr>
            <w:pStyle w:val="TOC3"/>
            <w:tabs>
              <w:tab w:val="right" w:leader="dot" w:pos="8647"/>
            </w:tabs>
            <w:ind w:right="-341" w:hanging="284"/>
            <w:rPr>
              <w:rFonts w:eastAsiaTheme="minorEastAsia" w:cstheme="minorBidi"/>
              <w:i w:val="0"/>
              <w:iCs w:val="0"/>
              <w:noProof/>
              <w:sz w:val="22"/>
              <w:szCs w:val="22"/>
            </w:rPr>
          </w:pPr>
          <w:hyperlink w:anchor="_Toc392836102" w:history="1">
            <w:r w:rsidR="00CA23EA" w:rsidRPr="000378DE">
              <w:rPr>
                <w:rStyle w:val="Hyperlink"/>
                <w:rFonts w:ascii="Geometr706 Md TL" w:eastAsiaTheme="majorEastAsia" w:hAnsi="Geometr706 Md TL"/>
                <w:noProof/>
              </w:rPr>
              <w:t>2.3.4. Valsts metroloģiskā uzraudzība</w:t>
            </w:r>
            <w:r w:rsidR="00CA23EA">
              <w:rPr>
                <w:noProof/>
                <w:webHidden/>
              </w:rPr>
              <w:tab/>
            </w:r>
            <w:r w:rsidR="00CA23EA">
              <w:rPr>
                <w:noProof/>
                <w:webHidden/>
              </w:rPr>
              <w:fldChar w:fldCharType="begin"/>
            </w:r>
            <w:r w:rsidR="00CA23EA">
              <w:rPr>
                <w:noProof/>
                <w:webHidden/>
              </w:rPr>
              <w:instrText xml:space="preserve"> PAGEREF _Toc392836102 \h </w:instrText>
            </w:r>
            <w:r w:rsidR="00CA23EA">
              <w:rPr>
                <w:noProof/>
                <w:webHidden/>
              </w:rPr>
            </w:r>
            <w:r w:rsidR="00CA23EA">
              <w:rPr>
                <w:noProof/>
                <w:webHidden/>
              </w:rPr>
              <w:fldChar w:fldCharType="separate"/>
            </w:r>
            <w:r w:rsidR="000C128D">
              <w:rPr>
                <w:noProof/>
                <w:webHidden/>
              </w:rPr>
              <w:t>34</w:t>
            </w:r>
            <w:r w:rsidR="00CA23EA">
              <w:rPr>
                <w:noProof/>
                <w:webHidden/>
              </w:rPr>
              <w:fldChar w:fldCharType="end"/>
            </w:r>
          </w:hyperlink>
        </w:p>
        <w:p w:rsidR="00CA23EA" w:rsidRDefault="00C46CAD" w:rsidP="00CA23EA">
          <w:pPr>
            <w:pStyle w:val="TOC3"/>
            <w:tabs>
              <w:tab w:val="right" w:leader="dot" w:pos="8647"/>
            </w:tabs>
            <w:ind w:right="-341" w:hanging="284"/>
            <w:rPr>
              <w:rFonts w:eastAsiaTheme="minorEastAsia" w:cstheme="minorBidi"/>
              <w:i w:val="0"/>
              <w:iCs w:val="0"/>
              <w:noProof/>
              <w:sz w:val="22"/>
              <w:szCs w:val="22"/>
            </w:rPr>
          </w:pPr>
          <w:hyperlink w:anchor="_Toc392836103" w:history="1">
            <w:r w:rsidR="00CA23EA" w:rsidRPr="000378DE">
              <w:rPr>
                <w:rStyle w:val="Hyperlink"/>
                <w:rFonts w:ascii="Geometr706 Md TL" w:eastAsiaTheme="majorEastAsia" w:hAnsi="Geometr706 Md TL"/>
                <w:noProof/>
              </w:rPr>
              <w:t>2.3.5. Bīstamo iekārtu uzraudzība</w:t>
            </w:r>
            <w:r w:rsidR="00CA23EA">
              <w:rPr>
                <w:noProof/>
                <w:webHidden/>
              </w:rPr>
              <w:tab/>
            </w:r>
            <w:r w:rsidR="00CA23EA">
              <w:rPr>
                <w:noProof/>
                <w:webHidden/>
              </w:rPr>
              <w:fldChar w:fldCharType="begin"/>
            </w:r>
            <w:r w:rsidR="00CA23EA">
              <w:rPr>
                <w:noProof/>
                <w:webHidden/>
              </w:rPr>
              <w:instrText xml:space="preserve"> PAGEREF _Toc392836103 \h </w:instrText>
            </w:r>
            <w:r w:rsidR="00CA23EA">
              <w:rPr>
                <w:noProof/>
                <w:webHidden/>
              </w:rPr>
            </w:r>
            <w:r w:rsidR="00CA23EA">
              <w:rPr>
                <w:noProof/>
                <w:webHidden/>
              </w:rPr>
              <w:fldChar w:fldCharType="separate"/>
            </w:r>
            <w:r w:rsidR="000C128D">
              <w:rPr>
                <w:noProof/>
                <w:webHidden/>
              </w:rPr>
              <w:t>38</w:t>
            </w:r>
            <w:r w:rsidR="00CA23EA">
              <w:rPr>
                <w:noProof/>
                <w:webHidden/>
              </w:rPr>
              <w:fldChar w:fldCharType="end"/>
            </w:r>
          </w:hyperlink>
        </w:p>
        <w:p w:rsidR="00CA23EA" w:rsidRDefault="00C46CAD" w:rsidP="00CA23EA">
          <w:pPr>
            <w:pStyle w:val="TOC3"/>
            <w:tabs>
              <w:tab w:val="right" w:leader="dot" w:pos="8647"/>
            </w:tabs>
            <w:ind w:right="-341" w:hanging="284"/>
            <w:rPr>
              <w:rFonts w:eastAsiaTheme="minorEastAsia" w:cstheme="minorBidi"/>
              <w:i w:val="0"/>
              <w:iCs w:val="0"/>
              <w:noProof/>
              <w:sz w:val="22"/>
              <w:szCs w:val="22"/>
            </w:rPr>
          </w:pPr>
          <w:hyperlink w:anchor="_Toc392836104" w:history="1">
            <w:r w:rsidR="00CA23EA" w:rsidRPr="000378DE">
              <w:rPr>
                <w:rStyle w:val="Hyperlink"/>
                <w:rFonts w:ascii="Geometr706 Md TL" w:eastAsiaTheme="majorEastAsia" w:hAnsi="Geometr706 Md TL"/>
                <w:noProof/>
              </w:rPr>
              <w:t>2.3.6. Patērētāju iesniegumu un sūdzību izskatīšana</w:t>
            </w:r>
            <w:r w:rsidR="00CA23EA">
              <w:rPr>
                <w:noProof/>
                <w:webHidden/>
              </w:rPr>
              <w:tab/>
            </w:r>
            <w:r w:rsidR="00CA23EA">
              <w:rPr>
                <w:noProof/>
                <w:webHidden/>
              </w:rPr>
              <w:fldChar w:fldCharType="begin"/>
            </w:r>
            <w:r w:rsidR="00CA23EA">
              <w:rPr>
                <w:noProof/>
                <w:webHidden/>
              </w:rPr>
              <w:instrText xml:space="preserve"> PAGEREF _Toc392836104 \h </w:instrText>
            </w:r>
            <w:r w:rsidR="00CA23EA">
              <w:rPr>
                <w:noProof/>
                <w:webHidden/>
              </w:rPr>
            </w:r>
            <w:r w:rsidR="00CA23EA">
              <w:rPr>
                <w:noProof/>
                <w:webHidden/>
              </w:rPr>
              <w:fldChar w:fldCharType="separate"/>
            </w:r>
            <w:r w:rsidR="000C128D">
              <w:rPr>
                <w:noProof/>
                <w:webHidden/>
              </w:rPr>
              <w:t>40</w:t>
            </w:r>
            <w:r w:rsidR="00CA23EA">
              <w:rPr>
                <w:noProof/>
                <w:webHidden/>
              </w:rPr>
              <w:fldChar w:fldCharType="end"/>
            </w:r>
          </w:hyperlink>
        </w:p>
        <w:p w:rsidR="00CA23EA" w:rsidRDefault="00C46CAD" w:rsidP="00CA23EA">
          <w:pPr>
            <w:pStyle w:val="TOC3"/>
            <w:tabs>
              <w:tab w:val="right" w:leader="dot" w:pos="8647"/>
            </w:tabs>
            <w:ind w:right="-341" w:hanging="284"/>
            <w:rPr>
              <w:rFonts w:eastAsiaTheme="minorEastAsia" w:cstheme="minorBidi"/>
              <w:i w:val="0"/>
              <w:iCs w:val="0"/>
              <w:noProof/>
              <w:sz w:val="22"/>
              <w:szCs w:val="22"/>
            </w:rPr>
          </w:pPr>
          <w:hyperlink w:anchor="_Toc392836106" w:history="1">
            <w:r w:rsidR="00CA23EA" w:rsidRPr="000378DE">
              <w:rPr>
                <w:rStyle w:val="Hyperlink"/>
                <w:rFonts w:ascii="Geometr706 Md TL" w:eastAsiaTheme="majorEastAsia" w:hAnsi="Geometr706 Md TL"/>
                <w:noProof/>
              </w:rPr>
              <w:t>2.3.7. Patērētāju konsultēšana un informēšana</w:t>
            </w:r>
            <w:r w:rsidR="00CA23EA">
              <w:rPr>
                <w:noProof/>
                <w:webHidden/>
              </w:rPr>
              <w:tab/>
            </w:r>
            <w:r w:rsidR="00CA23EA">
              <w:rPr>
                <w:noProof/>
                <w:webHidden/>
              </w:rPr>
              <w:fldChar w:fldCharType="begin"/>
            </w:r>
            <w:r w:rsidR="00CA23EA">
              <w:rPr>
                <w:noProof/>
                <w:webHidden/>
              </w:rPr>
              <w:instrText xml:space="preserve"> PAGEREF _Toc392836106 \h </w:instrText>
            </w:r>
            <w:r w:rsidR="00CA23EA">
              <w:rPr>
                <w:noProof/>
                <w:webHidden/>
              </w:rPr>
            </w:r>
            <w:r w:rsidR="00CA23EA">
              <w:rPr>
                <w:noProof/>
                <w:webHidden/>
              </w:rPr>
              <w:fldChar w:fldCharType="separate"/>
            </w:r>
            <w:r w:rsidR="000C128D">
              <w:rPr>
                <w:noProof/>
                <w:webHidden/>
              </w:rPr>
              <w:t>44</w:t>
            </w:r>
            <w:r w:rsidR="00CA23EA">
              <w:rPr>
                <w:noProof/>
                <w:webHidden/>
              </w:rPr>
              <w:fldChar w:fldCharType="end"/>
            </w:r>
          </w:hyperlink>
        </w:p>
        <w:p w:rsidR="00CA23EA" w:rsidRDefault="00C46CAD" w:rsidP="00CA23EA">
          <w:pPr>
            <w:pStyle w:val="TOC3"/>
            <w:tabs>
              <w:tab w:val="right" w:leader="dot" w:pos="8647"/>
            </w:tabs>
            <w:ind w:right="-341" w:hanging="284"/>
            <w:rPr>
              <w:rFonts w:eastAsiaTheme="minorEastAsia" w:cstheme="minorBidi"/>
              <w:i w:val="0"/>
              <w:iCs w:val="0"/>
              <w:noProof/>
              <w:sz w:val="22"/>
              <w:szCs w:val="22"/>
            </w:rPr>
          </w:pPr>
          <w:hyperlink w:anchor="_Toc392836107" w:history="1">
            <w:r w:rsidR="00CA23EA" w:rsidRPr="000378DE">
              <w:rPr>
                <w:rStyle w:val="Hyperlink"/>
                <w:rFonts w:ascii="Geometr706 Md TL" w:eastAsiaTheme="majorEastAsia" w:hAnsi="Geometr706 Md TL"/>
                <w:noProof/>
              </w:rPr>
              <w:t>2.3.8. Uzņēmēju konsultēšana un informēšana</w:t>
            </w:r>
            <w:r w:rsidR="00CA23EA">
              <w:rPr>
                <w:noProof/>
                <w:webHidden/>
              </w:rPr>
              <w:tab/>
            </w:r>
            <w:r w:rsidR="00CA23EA">
              <w:rPr>
                <w:noProof/>
                <w:webHidden/>
              </w:rPr>
              <w:fldChar w:fldCharType="begin"/>
            </w:r>
            <w:r w:rsidR="00CA23EA">
              <w:rPr>
                <w:noProof/>
                <w:webHidden/>
              </w:rPr>
              <w:instrText xml:space="preserve"> PAGEREF _Toc392836107 \h </w:instrText>
            </w:r>
            <w:r w:rsidR="00CA23EA">
              <w:rPr>
                <w:noProof/>
                <w:webHidden/>
              </w:rPr>
            </w:r>
            <w:r w:rsidR="00CA23EA">
              <w:rPr>
                <w:noProof/>
                <w:webHidden/>
              </w:rPr>
              <w:fldChar w:fldCharType="separate"/>
            </w:r>
            <w:r w:rsidR="000C128D">
              <w:rPr>
                <w:noProof/>
                <w:webHidden/>
              </w:rPr>
              <w:t>45</w:t>
            </w:r>
            <w:r w:rsidR="00CA23EA">
              <w:rPr>
                <w:noProof/>
                <w:webHidden/>
              </w:rPr>
              <w:fldChar w:fldCharType="end"/>
            </w:r>
          </w:hyperlink>
        </w:p>
        <w:p w:rsidR="00CA23EA" w:rsidRDefault="00C46CAD" w:rsidP="00CA23EA">
          <w:pPr>
            <w:pStyle w:val="TOC3"/>
            <w:tabs>
              <w:tab w:val="right" w:leader="dot" w:pos="8647"/>
            </w:tabs>
            <w:ind w:right="-341" w:hanging="284"/>
            <w:rPr>
              <w:rFonts w:eastAsiaTheme="minorEastAsia" w:cstheme="minorBidi"/>
              <w:i w:val="0"/>
              <w:iCs w:val="0"/>
              <w:noProof/>
              <w:sz w:val="22"/>
              <w:szCs w:val="22"/>
            </w:rPr>
          </w:pPr>
          <w:hyperlink w:anchor="_Toc392836108" w:history="1">
            <w:r w:rsidR="00CA23EA" w:rsidRPr="000378DE">
              <w:rPr>
                <w:rStyle w:val="Hyperlink"/>
                <w:rFonts w:ascii="Geometr706 Md TL" w:eastAsiaTheme="majorEastAsia" w:hAnsi="Geometr706 Md TL"/>
                <w:noProof/>
              </w:rPr>
              <w:t>2.3.9. Administratīvo pārkāpumu lietu izskatīšana, sodu piemērošana un lēmumu piespiedu izpilde</w:t>
            </w:r>
            <w:r w:rsidR="00CA23EA">
              <w:rPr>
                <w:noProof/>
                <w:webHidden/>
              </w:rPr>
              <w:tab/>
            </w:r>
            <w:r w:rsidR="00CA23EA">
              <w:rPr>
                <w:noProof/>
                <w:webHidden/>
              </w:rPr>
              <w:fldChar w:fldCharType="begin"/>
            </w:r>
            <w:r w:rsidR="00CA23EA">
              <w:rPr>
                <w:noProof/>
                <w:webHidden/>
              </w:rPr>
              <w:instrText xml:space="preserve"> PAGEREF _Toc392836108 \h </w:instrText>
            </w:r>
            <w:r w:rsidR="00CA23EA">
              <w:rPr>
                <w:noProof/>
                <w:webHidden/>
              </w:rPr>
            </w:r>
            <w:r w:rsidR="00CA23EA">
              <w:rPr>
                <w:noProof/>
                <w:webHidden/>
              </w:rPr>
              <w:fldChar w:fldCharType="separate"/>
            </w:r>
            <w:r w:rsidR="000C128D">
              <w:rPr>
                <w:noProof/>
                <w:webHidden/>
              </w:rPr>
              <w:t>46</w:t>
            </w:r>
            <w:r w:rsidR="00CA23EA">
              <w:rPr>
                <w:noProof/>
                <w:webHidden/>
              </w:rPr>
              <w:fldChar w:fldCharType="end"/>
            </w:r>
          </w:hyperlink>
        </w:p>
        <w:p w:rsidR="00CA23EA" w:rsidRDefault="00C46CAD" w:rsidP="00CA23EA">
          <w:pPr>
            <w:pStyle w:val="TOC3"/>
            <w:tabs>
              <w:tab w:val="right" w:leader="dot" w:pos="8647"/>
            </w:tabs>
            <w:ind w:right="-341" w:hanging="284"/>
            <w:rPr>
              <w:rFonts w:eastAsiaTheme="minorEastAsia" w:cstheme="minorBidi"/>
              <w:i w:val="0"/>
              <w:iCs w:val="0"/>
              <w:noProof/>
              <w:sz w:val="22"/>
              <w:szCs w:val="22"/>
            </w:rPr>
          </w:pPr>
          <w:hyperlink w:anchor="_Toc392836109" w:history="1">
            <w:r w:rsidR="00CA23EA" w:rsidRPr="000378DE">
              <w:rPr>
                <w:rStyle w:val="Hyperlink"/>
                <w:rFonts w:ascii="Geometr706 Md TL" w:eastAsiaTheme="majorEastAsia" w:hAnsi="Geometr706 Md TL"/>
                <w:noProof/>
              </w:rPr>
              <w:t>2.3.10. Eiropas Patērētāju informēšanas centrs</w:t>
            </w:r>
            <w:r w:rsidR="00CA23EA">
              <w:rPr>
                <w:noProof/>
                <w:webHidden/>
              </w:rPr>
              <w:tab/>
            </w:r>
            <w:r w:rsidR="00CA23EA">
              <w:rPr>
                <w:noProof/>
                <w:webHidden/>
              </w:rPr>
              <w:fldChar w:fldCharType="begin"/>
            </w:r>
            <w:r w:rsidR="00CA23EA">
              <w:rPr>
                <w:noProof/>
                <w:webHidden/>
              </w:rPr>
              <w:instrText xml:space="preserve"> PAGEREF _Toc392836109 \h </w:instrText>
            </w:r>
            <w:r w:rsidR="00CA23EA">
              <w:rPr>
                <w:noProof/>
                <w:webHidden/>
              </w:rPr>
            </w:r>
            <w:r w:rsidR="00CA23EA">
              <w:rPr>
                <w:noProof/>
                <w:webHidden/>
              </w:rPr>
              <w:fldChar w:fldCharType="separate"/>
            </w:r>
            <w:r w:rsidR="000C128D">
              <w:rPr>
                <w:noProof/>
                <w:webHidden/>
              </w:rPr>
              <w:t>47</w:t>
            </w:r>
            <w:r w:rsidR="00CA23EA">
              <w:rPr>
                <w:noProof/>
                <w:webHidden/>
              </w:rPr>
              <w:fldChar w:fldCharType="end"/>
            </w:r>
          </w:hyperlink>
        </w:p>
        <w:p w:rsidR="00CA23EA" w:rsidRDefault="00C46CAD" w:rsidP="00CA23EA">
          <w:pPr>
            <w:pStyle w:val="TOC3"/>
            <w:tabs>
              <w:tab w:val="right" w:leader="dot" w:pos="8647"/>
            </w:tabs>
            <w:ind w:right="-341" w:hanging="284"/>
            <w:rPr>
              <w:rFonts w:eastAsiaTheme="minorEastAsia" w:cstheme="minorBidi"/>
              <w:i w:val="0"/>
              <w:iCs w:val="0"/>
              <w:noProof/>
              <w:sz w:val="22"/>
              <w:szCs w:val="22"/>
            </w:rPr>
          </w:pPr>
          <w:hyperlink w:anchor="_Toc392836110" w:history="1">
            <w:r w:rsidR="00CA23EA" w:rsidRPr="000378DE">
              <w:rPr>
                <w:rStyle w:val="Hyperlink"/>
                <w:rFonts w:ascii="Geometr706 Md TL" w:eastAsiaTheme="majorEastAsia" w:hAnsi="Geometr706 Md TL"/>
                <w:noProof/>
              </w:rPr>
              <w:t>2.3.11. Starptautisko projektu rezultāti</w:t>
            </w:r>
            <w:r w:rsidR="00CA23EA">
              <w:rPr>
                <w:noProof/>
                <w:webHidden/>
              </w:rPr>
              <w:tab/>
            </w:r>
            <w:r w:rsidR="00CA23EA">
              <w:rPr>
                <w:noProof/>
                <w:webHidden/>
              </w:rPr>
              <w:fldChar w:fldCharType="begin"/>
            </w:r>
            <w:r w:rsidR="00CA23EA">
              <w:rPr>
                <w:noProof/>
                <w:webHidden/>
              </w:rPr>
              <w:instrText xml:space="preserve"> PAGEREF _Toc392836110 \h </w:instrText>
            </w:r>
            <w:r w:rsidR="00CA23EA">
              <w:rPr>
                <w:noProof/>
                <w:webHidden/>
              </w:rPr>
            </w:r>
            <w:r w:rsidR="00CA23EA">
              <w:rPr>
                <w:noProof/>
                <w:webHidden/>
              </w:rPr>
              <w:fldChar w:fldCharType="separate"/>
            </w:r>
            <w:r w:rsidR="000C128D">
              <w:rPr>
                <w:noProof/>
                <w:webHidden/>
              </w:rPr>
              <w:t>49</w:t>
            </w:r>
            <w:r w:rsidR="00CA23EA">
              <w:rPr>
                <w:noProof/>
                <w:webHidden/>
              </w:rPr>
              <w:fldChar w:fldCharType="end"/>
            </w:r>
          </w:hyperlink>
        </w:p>
        <w:p w:rsidR="00CA23EA" w:rsidRDefault="00C46CAD" w:rsidP="00CA23EA">
          <w:pPr>
            <w:pStyle w:val="TOC2"/>
            <w:tabs>
              <w:tab w:val="right" w:leader="dot" w:pos="8647"/>
            </w:tabs>
            <w:ind w:right="-341" w:hanging="284"/>
            <w:rPr>
              <w:rFonts w:eastAsiaTheme="minorEastAsia" w:cstheme="minorBidi"/>
              <w:smallCaps w:val="0"/>
              <w:noProof/>
              <w:sz w:val="22"/>
              <w:szCs w:val="22"/>
            </w:rPr>
          </w:pPr>
          <w:hyperlink w:anchor="_Toc392836111" w:history="1">
            <w:r w:rsidR="00CA23EA" w:rsidRPr="000378DE">
              <w:rPr>
                <w:rStyle w:val="Hyperlink"/>
                <w:rFonts w:ascii="Geometr706 Md TL" w:eastAsiaTheme="majorEastAsia" w:hAnsi="Geometr706 Md TL"/>
                <w:noProof/>
              </w:rPr>
              <w:t>2.4. Pārsūdzētie lēmumi un tiesvedība</w:t>
            </w:r>
            <w:r w:rsidR="00CA23EA">
              <w:rPr>
                <w:noProof/>
                <w:webHidden/>
              </w:rPr>
              <w:tab/>
            </w:r>
            <w:r w:rsidR="00CA23EA">
              <w:rPr>
                <w:noProof/>
                <w:webHidden/>
              </w:rPr>
              <w:fldChar w:fldCharType="begin"/>
            </w:r>
            <w:r w:rsidR="00CA23EA">
              <w:rPr>
                <w:noProof/>
                <w:webHidden/>
              </w:rPr>
              <w:instrText xml:space="preserve"> PAGEREF _Toc392836111 \h </w:instrText>
            </w:r>
            <w:r w:rsidR="00CA23EA">
              <w:rPr>
                <w:noProof/>
                <w:webHidden/>
              </w:rPr>
            </w:r>
            <w:r w:rsidR="00CA23EA">
              <w:rPr>
                <w:noProof/>
                <w:webHidden/>
              </w:rPr>
              <w:fldChar w:fldCharType="separate"/>
            </w:r>
            <w:r w:rsidR="000C128D">
              <w:rPr>
                <w:noProof/>
                <w:webHidden/>
              </w:rPr>
              <w:t>51</w:t>
            </w:r>
            <w:r w:rsidR="00CA23EA">
              <w:rPr>
                <w:noProof/>
                <w:webHidden/>
              </w:rPr>
              <w:fldChar w:fldCharType="end"/>
            </w:r>
          </w:hyperlink>
        </w:p>
        <w:p w:rsidR="00CA23EA" w:rsidRDefault="00C46CAD" w:rsidP="00CA23EA">
          <w:pPr>
            <w:pStyle w:val="TOC2"/>
            <w:tabs>
              <w:tab w:val="right" w:leader="dot" w:pos="8647"/>
            </w:tabs>
            <w:ind w:right="-341" w:hanging="284"/>
            <w:rPr>
              <w:rFonts w:eastAsiaTheme="minorEastAsia" w:cstheme="minorBidi"/>
              <w:smallCaps w:val="0"/>
              <w:noProof/>
              <w:sz w:val="22"/>
              <w:szCs w:val="22"/>
            </w:rPr>
          </w:pPr>
          <w:hyperlink w:anchor="_Toc392836112" w:history="1">
            <w:r w:rsidR="00CA23EA" w:rsidRPr="000378DE">
              <w:rPr>
                <w:rStyle w:val="Hyperlink"/>
                <w:rFonts w:ascii="Geometr706 Md TL" w:eastAsiaTheme="majorEastAsia" w:hAnsi="Geometr706 Md TL"/>
                <w:noProof/>
              </w:rPr>
              <w:t>2.5. Pārskats par iestādes vadības un darbības uzlabošanas sistēmām efektīvas darbības nodrošināšanai, informācijai par uzlabojumiem pakalpojumu pieejamības un kvalitātes nodrošināšanā</w:t>
            </w:r>
            <w:r w:rsidR="00CA23EA">
              <w:rPr>
                <w:noProof/>
                <w:webHidden/>
              </w:rPr>
              <w:tab/>
            </w:r>
            <w:r w:rsidR="00CA23EA">
              <w:rPr>
                <w:noProof/>
                <w:webHidden/>
              </w:rPr>
              <w:fldChar w:fldCharType="begin"/>
            </w:r>
            <w:r w:rsidR="00CA23EA">
              <w:rPr>
                <w:noProof/>
                <w:webHidden/>
              </w:rPr>
              <w:instrText xml:space="preserve"> PAGEREF _Toc392836112 \h </w:instrText>
            </w:r>
            <w:r w:rsidR="00CA23EA">
              <w:rPr>
                <w:noProof/>
                <w:webHidden/>
              </w:rPr>
            </w:r>
            <w:r w:rsidR="00CA23EA">
              <w:rPr>
                <w:noProof/>
                <w:webHidden/>
              </w:rPr>
              <w:fldChar w:fldCharType="separate"/>
            </w:r>
            <w:r w:rsidR="000C128D">
              <w:rPr>
                <w:noProof/>
                <w:webHidden/>
              </w:rPr>
              <w:t>52</w:t>
            </w:r>
            <w:r w:rsidR="00CA23EA">
              <w:rPr>
                <w:noProof/>
                <w:webHidden/>
              </w:rPr>
              <w:fldChar w:fldCharType="end"/>
            </w:r>
          </w:hyperlink>
        </w:p>
        <w:p w:rsidR="00CA23EA" w:rsidRDefault="00C46CAD" w:rsidP="00CA23EA">
          <w:pPr>
            <w:pStyle w:val="TOC1"/>
            <w:tabs>
              <w:tab w:val="right" w:leader="dot" w:pos="8647"/>
            </w:tabs>
            <w:ind w:right="-341" w:hanging="284"/>
            <w:rPr>
              <w:rFonts w:eastAsiaTheme="minorEastAsia" w:cstheme="minorBidi"/>
              <w:b w:val="0"/>
              <w:bCs w:val="0"/>
              <w:caps w:val="0"/>
              <w:noProof/>
              <w:sz w:val="22"/>
              <w:szCs w:val="22"/>
            </w:rPr>
          </w:pPr>
          <w:hyperlink w:anchor="_Toc392836113" w:history="1">
            <w:r w:rsidR="00CA23EA" w:rsidRPr="000378DE">
              <w:rPr>
                <w:rStyle w:val="Hyperlink"/>
                <w:rFonts w:ascii="Geometr706 Md TL" w:eastAsiaTheme="majorEastAsia" w:hAnsi="Geometr706 Md TL"/>
                <w:noProof/>
              </w:rPr>
              <w:t>3. PTAC personāls</w:t>
            </w:r>
            <w:r w:rsidR="00CA23EA">
              <w:rPr>
                <w:noProof/>
                <w:webHidden/>
              </w:rPr>
              <w:tab/>
            </w:r>
            <w:r w:rsidR="00CA23EA">
              <w:rPr>
                <w:noProof/>
                <w:webHidden/>
              </w:rPr>
              <w:fldChar w:fldCharType="begin"/>
            </w:r>
            <w:r w:rsidR="00CA23EA">
              <w:rPr>
                <w:noProof/>
                <w:webHidden/>
              </w:rPr>
              <w:instrText xml:space="preserve"> PAGEREF _Toc392836113 \h </w:instrText>
            </w:r>
            <w:r w:rsidR="00CA23EA">
              <w:rPr>
                <w:noProof/>
                <w:webHidden/>
              </w:rPr>
            </w:r>
            <w:r w:rsidR="00CA23EA">
              <w:rPr>
                <w:noProof/>
                <w:webHidden/>
              </w:rPr>
              <w:fldChar w:fldCharType="separate"/>
            </w:r>
            <w:r w:rsidR="000C128D">
              <w:rPr>
                <w:noProof/>
                <w:webHidden/>
              </w:rPr>
              <w:t>53</w:t>
            </w:r>
            <w:r w:rsidR="00CA23EA">
              <w:rPr>
                <w:noProof/>
                <w:webHidden/>
              </w:rPr>
              <w:fldChar w:fldCharType="end"/>
            </w:r>
          </w:hyperlink>
        </w:p>
        <w:p w:rsidR="00CA23EA" w:rsidRDefault="00C46CAD" w:rsidP="00CA23EA">
          <w:pPr>
            <w:pStyle w:val="TOC1"/>
            <w:tabs>
              <w:tab w:val="right" w:leader="dot" w:pos="8647"/>
            </w:tabs>
            <w:ind w:right="-341" w:hanging="284"/>
            <w:rPr>
              <w:rFonts w:eastAsiaTheme="minorEastAsia" w:cstheme="minorBidi"/>
              <w:b w:val="0"/>
              <w:bCs w:val="0"/>
              <w:caps w:val="0"/>
              <w:noProof/>
              <w:sz w:val="22"/>
              <w:szCs w:val="22"/>
            </w:rPr>
          </w:pPr>
          <w:hyperlink w:anchor="_Toc392836114" w:history="1">
            <w:r w:rsidR="00CA23EA" w:rsidRPr="000378DE">
              <w:rPr>
                <w:rStyle w:val="Hyperlink"/>
                <w:rFonts w:ascii="Geometr706 Md TL" w:eastAsiaTheme="majorEastAsia" w:hAnsi="Geometr706 Md TL"/>
                <w:noProof/>
              </w:rPr>
              <w:t>4. Komunikācija ar sabiedrību</w:t>
            </w:r>
            <w:r w:rsidR="00CA23EA">
              <w:rPr>
                <w:noProof/>
                <w:webHidden/>
              </w:rPr>
              <w:tab/>
            </w:r>
            <w:r w:rsidR="00CA23EA">
              <w:rPr>
                <w:noProof/>
                <w:webHidden/>
              </w:rPr>
              <w:fldChar w:fldCharType="begin"/>
            </w:r>
            <w:r w:rsidR="00CA23EA">
              <w:rPr>
                <w:noProof/>
                <w:webHidden/>
              </w:rPr>
              <w:instrText xml:space="preserve"> PAGEREF _Toc392836114 \h </w:instrText>
            </w:r>
            <w:r w:rsidR="00CA23EA">
              <w:rPr>
                <w:noProof/>
                <w:webHidden/>
              </w:rPr>
            </w:r>
            <w:r w:rsidR="00CA23EA">
              <w:rPr>
                <w:noProof/>
                <w:webHidden/>
              </w:rPr>
              <w:fldChar w:fldCharType="separate"/>
            </w:r>
            <w:r w:rsidR="000C128D">
              <w:rPr>
                <w:noProof/>
                <w:webHidden/>
              </w:rPr>
              <w:t>53</w:t>
            </w:r>
            <w:r w:rsidR="00CA23EA">
              <w:rPr>
                <w:noProof/>
                <w:webHidden/>
              </w:rPr>
              <w:fldChar w:fldCharType="end"/>
            </w:r>
          </w:hyperlink>
        </w:p>
        <w:p w:rsidR="00CA23EA" w:rsidRDefault="00C46CAD" w:rsidP="00CA23EA">
          <w:pPr>
            <w:pStyle w:val="TOC2"/>
            <w:tabs>
              <w:tab w:val="right" w:leader="dot" w:pos="8647"/>
            </w:tabs>
            <w:ind w:right="-341" w:hanging="284"/>
            <w:rPr>
              <w:rFonts w:eastAsiaTheme="minorEastAsia" w:cstheme="minorBidi"/>
              <w:smallCaps w:val="0"/>
              <w:noProof/>
              <w:sz w:val="22"/>
              <w:szCs w:val="22"/>
            </w:rPr>
          </w:pPr>
          <w:hyperlink w:anchor="_Toc392836115" w:history="1">
            <w:r w:rsidR="00CA23EA" w:rsidRPr="000378DE">
              <w:rPr>
                <w:rStyle w:val="Hyperlink"/>
                <w:rFonts w:ascii="Geometr706 Md TL" w:eastAsiaTheme="majorEastAsia" w:hAnsi="Geometr706 Md TL"/>
                <w:noProof/>
                <w:lang w:eastAsia="en-US"/>
              </w:rPr>
              <w:t>4.1. Sabiedrības informēšanas un izglītošanas pasākumi</w:t>
            </w:r>
            <w:r w:rsidR="00CA23EA">
              <w:rPr>
                <w:noProof/>
                <w:webHidden/>
              </w:rPr>
              <w:tab/>
            </w:r>
            <w:r w:rsidR="00CA23EA">
              <w:rPr>
                <w:noProof/>
                <w:webHidden/>
              </w:rPr>
              <w:fldChar w:fldCharType="begin"/>
            </w:r>
            <w:r w:rsidR="00CA23EA">
              <w:rPr>
                <w:noProof/>
                <w:webHidden/>
              </w:rPr>
              <w:instrText xml:space="preserve"> PAGEREF _Toc392836115 \h </w:instrText>
            </w:r>
            <w:r w:rsidR="00CA23EA">
              <w:rPr>
                <w:noProof/>
                <w:webHidden/>
              </w:rPr>
            </w:r>
            <w:r w:rsidR="00CA23EA">
              <w:rPr>
                <w:noProof/>
                <w:webHidden/>
              </w:rPr>
              <w:fldChar w:fldCharType="separate"/>
            </w:r>
            <w:r w:rsidR="000C128D">
              <w:rPr>
                <w:noProof/>
                <w:webHidden/>
              </w:rPr>
              <w:t>53</w:t>
            </w:r>
            <w:r w:rsidR="00CA23EA">
              <w:rPr>
                <w:noProof/>
                <w:webHidden/>
              </w:rPr>
              <w:fldChar w:fldCharType="end"/>
            </w:r>
          </w:hyperlink>
        </w:p>
        <w:p w:rsidR="00CA23EA" w:rsidRDefault="00C46CAD" w:rsidP="00CA23EA">
          <w:pPr>
            <w:pStyle w:val="TOC2"/>
            <w:tabs>
              <w:tab w:val="right" w:leader="dot" w:pos="8647"/>
            </w:tabs>
            <w:ind w:right="-341" w:hanging="284"/>
            <w:rPr>
              <w:rFonts w:eastAsiaTheme="minorEastAsia" w:cstheme="minorBidi"/>
              <w:smallCaps w:val="0"/>
              <w:noProof/>
              <w:sz w:val="22"/>
              <w:szCs w:val="22"/>
            </w:rPr>
          </w:pPr>
          <w:hyperlink w:anchor="_Toc392836116" w:history="1">
            <w:r w:rsidR="00CA23EA" w:rsidRPr="000378DE">
              <w:rPr>
                <w:rStyle w:val="Hyperlink"/>
                <w:rFonts w:ascii="Geometr706 Md TL" w:eastAsiaTheme="majorEastAsia" w:hAnsi="Geometr706 Md TL"/>
                <w:noProof/>
              </w:rPr>
              <w:t>4.2. Pasākumi sabiedrības viedokļa uzzināšanai</w:t>
            </w:r>
            <w:r w:rsidR="00CA23EA">
              <w:rPr>
                <w:noProof/>
                <w:webHidden/>
              </w:rPr>
              <w:tab/>
            </w:r>
            <w:r w:rsidR="00CA23EA">
              <w:rPr>
                <w:noProof/>
                <w:webHidden/>
              </w:rPr>
              <w:fldChar w:fldCharType="begin"/>
            </w:r>
            <w:r w:rsidR="00CA23EA">
              <w:rPr>
                <w:noProof/>
                <w:webHidden/>
              </w:rPr>
              <w:instrText xml:space="preserve"> PAGEREF _Toc392836116 \h </w:instrText>
            </w:r>
            <w:r w:rsidR="00CA23EA">
              <w:rPr>
                <w:noProof/>
                <w:webHidden/>
              </w:rPr>
            </w:r>
            <w:r w:rsidR="00CA23EA">
              <w:rPr>
                <w:noProof/>
                <w:webHidden/>
              </w:rPr>
              <w:fldChar w:fldCharType="separate"/>
            </w:r>
            <w:r w:rsidR="000C128D">
              <w:rPr>
                <w:noProof/>
                <w:webHidden/>
              </w:rPr>
              <w:t>56</w:t>
            </w:r>
            <w:r w:rsidR="00CA23EA">
              <w:rPr>
                <w:noProof/>
                <w:webHidden/>
              </w:rPr>
              <w:fldChar w:fldCharType="end"/>
            </w:r>
          </w:hyperlink>
        </w:p>
        <w:p w:rsidR="00CA23EA" w:rsidRDefault="00C46CAD" w:rsidP="00CA23EA">
          <w:pPr>
            <w:pStyle w:val="TOC2"/>
            <w:tabs>
              <w:tab w:val="right" w:leader="dot" w:pos="8647"/>
            </w:tabs>
            <w:ind w:right="-341" w:hanging="284"/>
            <w:rPr>
              <w:rFonts w:eastAsiaTheme="minorEastAsia" w:cstheme="minorBidi"/>
              <w:smallCaps w:val="0"/>
              <w:noProof/>
              <w:sz w:val="22"/>
              <w:szCs w:val="22"/>
            </w:rPr>
          </w:pPr>
          <w:hyperlink w:anchor="_Toc392836117" w:history="1">
            <w:r w:rsidR="00CA23EA" w:rsidRPr="000378DE">
              <w:rPr>
                <w:rStyle w:val="Hyperlink"/>
                <w:rFonts w:ascii="Geometr706 Md TL" w:eastAsiaTheme="majorEastAsia" w:hAnsi="Geometr706 Md TL"/>
                <w:noProof/>
              </w:rPr>
              <w:t>4.3. Sadarbība ar nevalstisko sektoru</w:t>
            </w:r>
            <w:r w:rsidR="00CA23EA">
              <w:rPr>
                <w:noProof/>
                <w:webHidden/>
              </w:rPr>
              <w:tab/>
            </w:r>
            <w:r w:rsidR="00CA23EA">
              <w:rPr>
                <w:noProof/>
                <w:webHidden/>
              </w:rPr>
              <w:fldChar w:fldCharType="begin"/>
            </w:r>
            <w:r w:rsidR="00CA23EA">
              <w:rPr>
                <w:noProof/>
                <w:webHidden/>
              </w:rPr>
              <w:instrText xml:space="preserve"> PAGEREF _Toc392836117 \h </w:instrText>
            </w:r>
            <w:r w:rsidR="00CA23EA">
              <w:rPr>
                <w:noProof/>
                <w:webHidden/>
              </w:rPr>
            </w:r>
            <w:r w:rsidR="00CA23EA">
              <w:rPr>
                <w:noProof/>
                <w:webHidden/>
              </w:rPr>
              <w:fldChar w:fldCharType="separate"/>
            </w:r>
            <w:r w:rsidR="000C128D">
              <w:rPr>
                <w:noProof/>
                <w:webHidden/>
              </w:rPr>
              <w:t>57</w:t>
            </w:r>
            <w:r w:rsidR="00CA23EA">
              <w:rPr>
                <w:noProof/>
                <w:webHidden/>
              </w:rPr>
              <w:fldChar w:fldCharType="end"/>
            </w:r>
          </w:hyperlink>
        </w:p>
        <w:p w:rsidR="00CA23EA" w:rsidRDefault="00C46CAD" w:rsidP="00CA23EA">
          <w:pPr>
            <w:pStyle w:val="TOC1"/>
            <w:tabs>
              <w:tab w:val="right" w:leader="dot" w:pos="8647"/>
            </w:tabs>
            <w:ind w:right="-341" w:hanging="284"/>
            <w:rPr>
              <w:rFonts w:eastAsiaTheme="minorEastAsia" w:cstheme="minorBidi"/>
              <w:b w:val="0"/>
              <w:bCs w:val="0"/>
              <w:caps w:val="0"/>
              <w:noProof/>
              <w:sz w:val="22"/>
              <w:szCs w:val="22"/>
            </w:rPr>
          </w:pPr>
          <w:hyperlink w:anchor="_Toc392836118" w:history="1">
            <w:r w:rsidR="00CA23EA" w:rsidRPr="000378DE">
              <w:rPr>
                <w:rStyle w:val="Hyperlink"/>
                <w:rFonts w:ascii="Geometr706 Md TL" w:eastAsiaTheme="majorEastAsia" w:hAnsi="Geometr706 Md TL"/>
                <w:noProof/>
              </w:rPr>
              <w:t>5. Nākamajā gadā plānotie pasākumi</w:t>
            </w:r>
            <w:r w:rsidR="00CA23EA">
              <w:rPr>
                <w:noProof/>
                <w:webHidden/>
              </w:rPr>
              <w:tab/>
            </w:r>
            <w:r w:rsidR="00CA23EA">
              <w:rPr>
                <w:noProof/>
                <w:webHidden/>
              </w:rPr>
              <w:fldChar w:fldCharType="begin"/>
            </w:r>
            <w:r w:rsidR="00CA23EA">
              <w:rPr>
                <w:noProof/>
                <w:webHidden/>
              </w:rPr>
              <w:instrText xml:space="preserve"> PAGEREF _Toc392836118 \h </w:instrText>
            </w:r>
            <w:r w:rsidR="00CA23EA">
              <w:rPr>
                <w:noProof/>
                <w:webHidden/>
              </w:rPr>
            </w:r>
            <w:r w:rsidR="00CA23EA">
              <w:rPr>
                <w:noProof/>
                <w:webHidden/>
              </w:rPr>
              <w:fldChar w:fldCharType="separate"/>
            </w:r>
            <w:r w:rsidR="000C128D">
              <w:rPr>
                <w:noProof/>
                <w:webHidden/>
              </w:rPr>
              <w:t>58</w:t>
            </w:r>
            <w:r w:rsidR="00CA23EA">
              <w:rPr>
                <w:noProof/>
                <w:webHidden/>
              </w:rPr>
              <w:fldChar w:fldCharType="end"/>
            </w:r>
          </w:hyperlink>
        </w:p>
        <w:p w:rsidR="00CA23EA" w:rsidRDefault="00C46CAD" w:rsidP="00CA23EA">
          <w:pPr>
            <w:pStyle w:val="TOC2"/>
            <w:tabs>
              <w:tab w:val="right" w:leader="dot" w:pos="8647"/>
            </w:tabs>
            <w:ind w:right="-341" w:hanging="284"/>
            <w:rPr>
              <w:rFonts w:eastAsiaTheme="minorEastAsia" w:cstheme="minorBidi"/>
              <w:smallCaps w:val="0"/>
              <w:noProof/>
              <w:sz w:val="22"/>
              <w:szCs w:val="22"/>
            </w:rPr>
          </w:pPr>
          <w:hyperlink w:anchor="_Toc392836119" w:history="1">
            <w:r w:rsidR="00CA23EA" w:rsidRPr="000378DE">
              <w:rPr>
                <w:rStyle w:val="Hyperlink"/>
                <w:rFonts w:ascii="Geometr706 Md TL" w:eastAsiaTheme="majorEastAsia" w:hAnsi="Geometr706 Md TL"/>
                <w:noProof/>
              </w:rPr>
              <w:t>5.1. Nākamā gada prioritātes</w:t>
            </w:r>
            <w:r w:rsidR="00CA23EA">
              <w:rPr>
                <w:noProof/>
                <w:webHidden/>
              </w:rPr>
              <w:tab/>
            </w:r>
            <w:r w:rsidR="00CA23EA">
              <w:rPr>
                <w:noProof/>
                <w:webHidden/>
              </w:rPr>
              <w:fldChar w:fldCharType="begin"/>
            </w:r>
            <w:r w:rsidR="00CA23EA">
              <w:rPr>
                <w:noProof/>
                <w:webHidden/>
              </w:rPr>
              <w:instrText xml:space="preserve"> PAGEREF _Toc392836119 \h </w:instrText>
            </w:r>
            <w:r w:rsidR="00CA23EA">
              <w:rPr>
                <w:noProof/>
                <w:webHidden/>
              </w:rPr>
            </w:r>
            <w:r w:rsidR="00CA23EA">
              <w:rPr>
                <w:noProof/>
                <w:webHidden/>
              </w:rPr>
              <w:fldChar w:fldCharType="separate"/>
            </w:r>
            <w:r w:rsidR="000C128D">
              <w:rPr>
                <w:noProof/>
                <w:webHidden/>
              </w:rPr>
              <w:t>58</w:t>
            </w:r>
            <w:r w:rsidR="00CA23EA">
              <w:rPr>
                <w:noProof/>
                <w:webHidden/>
              </w:rPr>
              <w:fldChar w:fldCharType="end"/>
            </w:r>
          </w:hyperlink>
        </w:p>
        <w:p w:rsidR="00CA23EA" w:rsidRDefault="00C46CAD" w:rsidP="00CA23EA">
          <w:pPr>
            <w:pStyle w:val="TOC2"/>
            <w:tabs>
              <w:tab w:val="right" w:leader="dot" w:pos="8647"/>
            </w:tabs>
            <w:ind w:right="-341" w:hanging="284"/>
            <w:rPr>
              <w:rFonts w:eastAsiaTheme="minorEastAsia" w:cstheme="minorBidi"/>
              <w:smallCaps w:val="0"/>
              <w:noProof/>
              <w:sz w:val="22"/>
              <w:szCs w:val="22"/>
            </w:rPr>
          </w:pPr>
          <w:hyperlink w:anchor="_Toc392836120" w:history="1">
            <w:r w:rsidR="00CA23EA" w:rsidRPr="000378DE">
              <w:rPr>
                <w:rStyle w:val="Hyperlink"/>
                <w:rFonts w:ascii="Geometr706 Md TL" w:eastAsiaTheme="majorEastAsia" w:hAnsi="Geometr706 Md TL"/>
                <w:noProof/>
              </w:rPr>
              <w:t>5.2. Plānotie sadarbības projekti</w:t>
            </w:r>
            <w:r w:rsidR="00CA23EA">
              <w:rPr>
                <w:noProof/>
                <w:webHidden/>
              </w:rPr>
              <w:tab/>
            </w:r>
            <w:r w:rsidR="00CA23EA">
              <w:rPr>
                <w:noProof/>
                <w:webHidden/>
              </w:rPr>
              <w:fldChar w:fldCharType="begin"/>
            </w:r>
            <w:r w:rsidR="00CA23EA">
              <w:rPr>
                <w:noProof/>
                <w:webHidden/>
              </w:rPr>
              <w:instrText xml:space="preserve"> PAGEREF _Toc392836120 \h </w:instrText>
            </w:r>
            <w:r w:rsidR="00CA23EA">
              <w:rPr>
                <w:noProof/>
                <w:webHidden/>
              </w:rPr>
            </w:r>
            <w:r w:rsidR="00CA23EA">
              <w:rPr>
                <w:noProof/>
                <w:webHidden/>
              </w:rPr>
              <w:fldChar w:fldCharType="separate"/>
            </w:r>
            <w:r w:rsidR="000C128D">
              <w:rPr>
                <w:noProof/>
                <w:webHidden/>
              </w:rPr>
              <w:t>59</w:t>
            </w:r>
            <w:r w:rsidR="00CA23EA">
              <w:rPr>
                <w:noProof/>
                <w:webHidden/>
              </w:rPr>
              <w:fldChar w:fldCharType="end"/>
            </w:r>
          </w:hyperlink>
        </w:p>
        <w:p w:rsidR="0038735E" w:rsidRPr="0038735E" w:rsidRDefault="0038735E" w:rsidP="0038735E">
          <w:pPr>
            <w:widowControl w:val="0"/>
            <w:adjustRightInd w:val="0"/>
            <w:spacing w:after="0" w:line="360" w:lineRule="atLeast"/>
            <w:jc w:val="both"/>
            <w:textAlignment w:val="baseline"/>
            <w:rPr>
              <w:rFonts w:ascii="Geometr706 Md TL" w:hAnsi="Geometr706 Md TL"/>
              <w:bCs/>
              <w:noProof/>
            </w:rPr>
          </w:pPr>
          <w:r w:rsidRPr="0038735E">
            <w:rPr>
              <w:rFonts w:ascii="Geometr706 Md TL" w:hAnsi="Geometr706 Md TL"/>
              <w:b/>
              <w:bCs/>
              <w:noProof/>
              <w:sz w:val="16"/>
              <w:szCs w:val="16"/>
            </w:rPr>
            <w:fldChar w:fldCharType="end"/>
          </w:r>
        </w:p>
      </w:sdtContent>
    </w:sdt>
    <w:p w:rsidR="0038735E" w:rsidRPr="0038735E" w:rsidRDefault="0038735E" w:rsidP="00CA23EA">
      <w:pPr>
        <w:rPr>
          <w:rFonts w:ascii="Geometr706 Md TL" w:hAnsi="Geometr706 Md TL"/>
        </w:rPr>
        <w:sectPr w:rsidR="0038735E" w:rsidRPr="0038735E" w:rsidSect="00076CDA">
          <w:headerReference w:type="first" r:id="rId13"/>
          <w:footerReference w:type="first" r:id="rId14"/>
          <w:pgSz w:w="11906" w:h="16838"/>
          <w:pgMar w:top="1440" w:right="1800" w:bottom="1440" w:left="1800" w:header="708" w:footer="708" w:gutter="0"/>
          <w:cols w:space="708"/>
          <w:titlePg/>
          <w:docGrid w:linePitch="360"/>
        </w:sectPr>
      </w:pPr>
    </w:p>
    <w:p w:rsidR="0038735E" w:rsidRPr="0038735E" w:rsidRDefault="0038735E" w:rsidP="0038735E">
      <w:pPr>
        <w:spacing w:after="0"/>
        <w:ind w:firstLine="720"/>
        <w:jc w:val="both"/>
        <w:rPr>
          <w:rFonts w:ascii="Geometr706 Md TL" w:hAnsi="Geometr706 Md TL"/>
        </w:rPr>
      </w:pPr>
    </w:p>
    <w:p w:rsidR="003179A2" w:rsidRDefault="003179A2">
      <w:pPr>
        <w:rPr>
          <w:rFonts w:ascii="Geometr706 Md TL" w:hAnsi="Geometr706 Md TL"/>
          <w:sz w:val="20"/>
          <w:szCs w:val="20"/>
        </w:rPr>
      </w:pPr>
      <w:r>
        <w:rPr>
          <w:rFonts w:ascii="Geometr706 Md TL" w:hAnsi="Geometr706 Md TL"/>
          <w:sz w:val="20"/>
          <w:szCs w:val="20"/>
        </w:rPr>
        <w:br w:type="page"/>
      </w:r>
    </w:p>
    <w:p w:rsidR="003179A2" w:rsidRDefault="003179A2" w:rsidP="0038735E">
      <w:pPr>
        <w:spacing w:after="0"/>
        <w:ind w:firstLine="720"/>
        <w:jc w:val="both"/>
        <w:rPr>
          <w:rFonts w:ascii="Geometr706 Md TL" w:hAnsi="Geometr706 Md TL"/>
          <w:sz w:val="20"/>
          <w:szCs w:val="20"/>
        </w:rPr>
      </w:pPr>
      <w:r w:rsidRPr="0038735E">
        <w:rPr>
          <w:rFonts w:ascii="Geometr706 Md TL" w:hAnsi="Geometr706 Md TL"/>
          <w:noProof/>
          <w:sz w:val="20"/>
          <w:szCs w:val="20"/>
          <w:lang w:eastAsia="lv-LV"/>
        </w:rPr>
        <w:lastRenderedPageBreak/>
        <w:drawing>
          <wp:anchor distT="0" distB="0" distL="114300" distR="114300" simplePos="0" relativeHeight="251660288" behindDoc="0" locked="0" layoutInCell="1" allowOverlap="1" wp14:anchorId="40D9CBAF" wp14:editId="7E67C5E6">
            <wp:simplePos x="0" y="0"/>
            <wp:positionH relativeFrom="column">
              <wp:posOffset>-59690</wp:posOffset>
            </wp:positionH>
            <wp:positionV relativeFrom="paragraph">
              <wp:posOffset>84455</wp:posOffset>
            </wp:positionV>
            <wp:extent cx="3131185" cy="3172460"/>
            <wp:effectExtent l="0" t="0" r="0" b="8890"/>
            <wp:wrapSquare wrapText="bothSides"/>
            <wp:docPr id="9" name="Picture 9" descr="Baib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iba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3131185" cy="3172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8735E" w:rsidRPr="0038735E" w:rsidRDefault="0038735E" w:rsidP="0038735E">
      <w:pPr>
        <w:spacing w:after="0"/>
        <w:ind w:firstLine="720"/>
        <w:jc w:val="both"/>
        <w:rPr>
          <w:rFonts w:ascii="Geometr706 Md TL" w:hAnsi="Geometr706 Md TL"/>
          <w:sz w:val="20"/>
          <w:szCs w:val="20"/>
        </w:rPr>
      </w:pPr>
      <w:r w:rsidRPr="0038735E">
        <w:rPr>
          <w:rFonts w:ascii="Geometr706 Md TL" w:hAnsi="Geometr706 Md TL"/>
          <w:sz w:val="20"/>
          <w:szCs w:val="20"/>
        </w:rPr>
        <w:t>Patērētāju tiesību aizsardzības centrs (turpmāk – PTAC) 2013. gadu ir pavadījis eiro zīmē, neatstājot novārtā arī citas tirgus uzraudzības jomas, patērētāju ekonomiskās intereses un individuālos strīdus par preču vai pakalpojumu neatbilstību.</w:t>
      </w:r>
    </w:p>
    <w:p w:rsidR="0038735E" w:rsidRPr="0038735E" w:rsidRDefault="0038735E" w:rsidP="0038735E">
      <w:pPr>
        <w:tabs>
          <w:tab w:val="left" w:pos="7920"/>
        </w:tabs>
        <w:spacing w:after="0"/>
        <w:ind w:firstLine="720"/>
        <w:jc w:val="both"/>
        <w:rPr>
          <w:rFonts w:ascii="Geometr706 Md TL" w:hAnsi="Geometr706 Md TL"/>
          <w:sz w:val="20"/>
          <w:szCs w:val="20"/>
        </w:rPr>
      </w:pPr>
      <w:r w:rsidRPr="0038735E">
        <w:rPr>
          <w:rFonts w:ascii="Geometr706 Md TL" w:hAnsi="Geometr706 Md TL"/>
          <w:sz w:val="20"/>
          <w:szCs w:val="20"/>
        </w:rPr>
        <w:t>Latvijas eiro ieviešanas projekts ir sniedzis vērtīgu pieredzi un ieguldījumu mūsu izaugsmē, gan vienota mērķa vārdā veicinot aktīvāku sadarbību starp institūcijām, gan esot izaicinājums komunikācijas un uzraudzības darbā.</w:t>
      </w:r>
    </w:p>
    <w:p w:rsidR="0038735E" w:rsidRPr="0038735E" w:rsidRDefault="0038735E" w:rsidP="0038735E">
      <w:pPr>
        <w:spacing w:after="0"/>
        <w:ind w:firstLine="709"/>
        <w:jc w:val="both"/>
        <w:rPr>
          <w:rFonts w:ascii="Geometr706 Md TL" w:hAnsi="Geometr706 Md TL"/>
          <w:sz w:val="20"/>
          <w:szCs w:val="20"/>
        </w:rPr>
      </w:pPr>
      <w:r w:rsidRPr="0038735E">
        <w:rPr>
          <w:rFonts w:ascii="Geometr706 Md TL" w:hAnsi="Geometr706 Md TL"/>
          <w:sz w:val="20"/>
          <w:szCs w:val="20"/>
        </w:rPr>
        <w:t>Nozīmīgas izmaiņas ir notikušas finanšu pakalpojumu jomā. Izstrādāta virkne konceptuālu priekšlikumu normatīvo aktu pilnveidei, no kuriem liela daļa šobrīd jau ir iestrādāti normatīvajā regulējumā. Lai sakārtotu nozari un sniegtu atbalstu komersantiem, ir sagatavotas vadlīnijas godīgas prakses īstenošanai un maksātspējas vērtēšanai nebanku finanšu pakalpojumu jomā, tāpēc nākotnē sagaidām pozitīvas tendences gan komersantu, gan patērētāju rīcībā.</w:t>
      </w:r>
    </w:p>
    <w:p w:rsidR="0038735E" w:rsidRPr="0038735E" w:rsidRDefault="0038735E" w:rsidP="0038735E">
      <w:pPr>
        <w:spacing w:after="0"/>
        <w:ind w:firstLine="709"/>
        <w:jc w:val="both"/>
        <w:rPr>
          <w:rFonts w:ascii="Geometr706 Md TL" w:hAnsi="Geometr706 Md TL"/>
          <w:sz w:val="20"/>
          <w:szCs w:val="20"/>
        </w:rPr>
      </w:pPr>
      <w:bookmarkStart w:id="1" w:name="_Toc360804522"/>
      <w:r w:rsidRPr="0038735E">
        <w:rPr>
          <w:rFonts w:ascii="Geometr706 Md TL" w:hAnsi="Geometr706 Md TL"/>
          <w:sz w:val="20"/>
          <w:szCs w:val="20"/>
        </w:rPr>
        <w:t>Lai veicinātu patērētāju zināšanu un prasmju pilnveidi finanšu jautājumos, PTAC sadarbībā ar Finanšu kapitāla tirgus komisiju, Izglītības un zinātnes ministriju, Valsts izglītības satura centru un citām institūcijām uzsāka Latvijas iedzīvotāju finanšu pratības stratēģijas izstrādes darbu.</w:t>
      </w:r>
    </w:p>
    <w:p w:rsidR="003179A2" w:rsidRDefault="003179A2" w:rsidP="0038735E">
      <w:pPr>
        <w:spacing w:after="0"/>
        <w:ind w:firstLine="709"/>
        <w:jc w:val="both"/>
        <w:rPr>
          <w:rFonts w:ascii="Geometr706 Md TL" w:hAnsi="Geometr706 Md TL"/>
          <w:sz w:val="20"/>
          <w:szCs w:val="20"/>
        </w:rPr>
      </w:pPr>
    </w:p>
    <w:p w:rsidR="0038735E" w:rsidRPr="0038735E" w:rsidRDefault="0038735E" w:rsidP="0038735E">
      <w:pPr>
        <w:spacing w:after="0"/>
        <w:ind w:firstLine="709"/>
        <w:jc w:val="both"/>
        <w:rPr>
          <w:rFonts w:ascii="Geometr706 Md TL" w:hAnsi="Geometr706 Md TL"/>
          <w:sz w:val="20"/>
          <w:szCs w:val="20"/>
        </w:rPr>
      </w:pPr>
      <w:r w:rsidRPr="0038735E">
        <w:rPr>
          <w:rFonts w:ascii="Geometr706 Md TL" w:hAnsi="Geometr706 Md TL"/>
          <w:sz w:val="20"/>
          <w:szCs w:val="20"/>
        </w:rPr>
        <w:lastRenderedPageBreak/>
        <w:t>Pārskata periodā turpinātas kopīgas aktivitātes ar Ziemeļvalstu un Baltijas valstu kolēģiem, lai novērstu maldinošu praksi, piedāvājot ātros kredītus. Lai gan ir vērojamas pozitīvas tendences, ātro kredītu tirgū turpinās aktīva, uz patērētājiem vērsta mārketinga komunikācija, tādēļ sadarbība un vienota uzraudzības institūciju pieeja ir būtiska un nepieciešama. Par vienu no prioritātēm 2014. gadam PTAC ir izvirzījis ātro kredītu devēju īstenotās komercprakses un patērētāju maksātspējas vērtēšanas uzraudzību</w:t>
      </w:r>
      <w:bookmarkEnd w:id="1"/>
      <w:r w:rsidRPr="0038735E">
        <w:rPr>
          <w:rFonts w:ascii="Geometr706 Md TL" w:hAnsi="Geometr706 Md TL"/>
          <w:sz w:val="20"/>
          <w:szCs w:val="20"/>
        </w:rPr>
        <w:t>.</w:t>
      </w:r>
    </w:p>
    <w:p w:rsidR="0038735E" w:rsidRPr="0038735E" w:rsidRDefault="0038735E" w:rsidP="0038735E">
      <w:pPr>
        <w:spacing w:after="0"/>
        <w:ind w:firstLine="709"/>
        <w:jc w:val="both"/>
        <w:rPr>
          <w:rFonts w:ascii="Geometr706 Md TL" w:hAnsi="Geometr706 Md TL"/>
          <w:sz w:val="20"/>
          <w:szCs w:val="20"/>
        </w:rPr>
      </w:pPr>
      <w:r w:rsidRPr="0038735E">
        <w:rPr>
          <w:rFonts w:ascii="Geometr706 Md TL" w:hAnsi="Geometr706 Md TL"/>
          <w:sz w:val="20"/>
          <w:szCs w:val="20"/>
        </w:rPr>
        <w:t xml:space="preserve">2013. gads ir bijis aktīvs periods arī preču un pakalpojumu drošuma uzraudzības jomā, kur bija iespēja vairāk resursu koncentrēt tieši preču testēšanai. Tika veiktas tādu preču grupu kā rotaļlietas, elektropreces, individuālie aizsardzības līdzekļi (turpmāk – IAL), </w:t>
      </w:r>
      <w:proofErr w:type="spellStart"/>
      <w:r w:rsidRPr="0038735E">
        <w:rPr>
          <w:rFonts w:ascii="Geometr706 Md TL" w:hAnsi="Geometr706 Md TL"/>
          <w:sz w:val="20"/>
          <w:szCs w:val="20"/>
        </w:rPr>
        <w:t>mašīniekārtas</w:t>
      </w:r>
      <w:proofErr w:type="spellEnd"/>
      <w:r w:rsidRPr="0038735E">
        <w:rPr>
          <w:rFonts w:ascii="Geometr706 Md TL" w:hAnsi="Geometr706 Md TL"/>
          <w:sz w:val="20"/>
          <w:szCs w:val="20"/>
        </w:rPr>
        <w:t>, būvizstrādājumi u. c. ekspertīzes.</w:t>
      </w:r>
    </w:p>
    <w:p w:rsidR="0038735E" w:rsidRPr="0038735E" w:rsidRDefault="0038735E" w:rsidP="0038735E">
      <w:pPr>
        <w:spacing w:after="0"/>
        <w:ind w:firstLine="709"/>
        <w:jc w:val="both"/>
        <w:rPr>
          <w:rFonts w:ascii="Geometr706 Md TL" w:hAnsi="Geometr706 Md TL"/>
          <w:sz w:val="20"/>
          <w:szCs w:val="20"/>
        </w:rPr>
      </w:pPr>
      <w:r w:rsidRPr="0038735E">
        <w:rPr>
          <w:rFonts w:ascii="Geometr706 Md TL" w:hAnsi="Geometr706 Md TL"/>
          <w:sz w:val="20"/>
          <w:szCs w:val="20"/>
        </w:rPr>
        <w:t>Gada nogalē sabrūkot lielveikala „</w:t>
      </w:r>
      <w:proofErr w:type="spellStart"/>
      <w:r w:rsidRPr="0038735E">
        <w:rPr>
          <w:rFonts w:ascii="Geometr706 Md TL" w:hAnsi="Geometr706 Md TL"/>
          <w:sz w:val="20"/>
          <w:szCs w:val="20"/>
        </w:rPr>
        <w:t>Maxima</w:t>
      </w:r>
      <w:proofErr w:type="spellEnd"/>
      <w:r w:rsidRPr="0038735E">
        <w:rPr>
          <w:rFonts w:ascii="Geometr706 Md TL" w:hAnsi="Geometr706 Md TL"/>
          <w:sz w:val="20"/>
          <w:szCs w:val="20"/>
        </w:rPr>
        <w:t>” jumtam, traģēdija prasīja daudzu cilvēku upurus, zem lupas paliekot visu būvniecības nozari. PTAC pārziņā ir būvizstrādājumu uzraudzība. 2013. gadā PTAC prioritāri uzraudzīja siltināšanas darbos izmantojamos būvizstrādājumus - siltumizolācijas materiālus, apkures sistēmas sildķermeņus un citus. Nākamajā gadā koncentrēsimies uz būvizstrādājumu izturības atbilstību un to izmantošanu paredzētajam nolūkam, veicot kontroli gan tirdzniecības vietās, gan būvlaukumos.</w:t>
      </w:r>
    </w:p>
    <w:p w:rsidR="0038735E" w:rsidRPr="0038735E" w:rsidRDefault="0038735E" w:rsidP="0038735E">
      <w:pPr>
        <w:spacing w:after="0"/>
        <w:ind w:firstLine="709"/>
        <w:jc w:val="both"/>
        <w:rPr>
          <w:rFonts w:ascii="Geometr706 Md TL" w:hAnsi="Geometr706 Md TL"/>
          <w:sz w:val="20"/>
          <w:szCs w:val="20"/>
        </w:rPr>
      </w:pPr>
      <w:r w:rsidRPr="0038735E">
        <w:rPr>
          <w:rFonts w:ascii="Geometr706 Md TL" w:hAnsi="Geometr706 Md TL"/>
          <w:sz w:val="20"/>
          <w:szCs w:val="20"/>
        </w:rPr>
        <w:t>Pateicos visiem, kas 2013. gadā ir devuši savu ieguldījumu veiksmīgas PTAC darbības nodrošināšanā un patērētāju aizsardzībā, vēlu, lai turpmāk mēs patērētāju intereses spētu aizstāvēt vēl labāk un efektīvāk!</w:t>
      </w:r>
    </w:p>
    <w:p w:rsidR="0038735E" w:rsidRPr="0038735E" w:rsidRDefault="0038735E" w:rsidP="0038735E">
      <w:pPr>
        <w:tabs>
          <w:tab w:val="left" w:pos="7920"/>
        </w:tabs>
        <w:spacing w:after="0"/>
        <w:ind w:firstLine="709"/>
        <w:jc w:val="right"/>
        <w:rPr>
          <w:rFonts w:ascii="Geometr706 Md TL" w:hAnsi="Geometr706 Md TL"/>
        </w:rPr>
      </w:pPr>
    </w:p>
    <w:p w:rsidR="0038735E" w:rsidRPr="0038735E" w:rsidRDefault="0038735E" w:rsidP="0038735E">
      <w:pPr>
        <w:tabs>
          <w:tab w:val="left" w:pos="7920"/>
        </w:tabs>
        <w:spacing w:after="0"/>
        <w:ind w:firstLine="709"/>
        <w:jc w:val="right"/>
        <w:rPr>
          <w:rFonts w:ascii="Geometr706 Md TL" w:hAnsi="Geometr706 Md TL"/>
        </w:rPr>
      </w:pPr>
    </w:p>
    <w:p w:rsidR="0038735E" w:rsidRPr="0038735E" w:rsidRDefault="0038735E" w:rsidP="0038735E">
      <w:pPr>
        <w:tabs>
          <w:tab w:val="left" w:pos="7920"/>
        </w:tabs>
        <w:spacing w:after="0"/>
        <w:ind w:firstLine="709"/>
        <w:jc w:val="right"/>
        <w:rPr>
          <w:rFonts w:ascii="Geometr706 Md TL" w:hAnsi="Geometr706 Md TL"/>
        </w:rPr>
      </w:pPr>
      <w:r w:rsidRPr="0038735E">
        <w:rPr>
          <w:rFonts w:ascii="Geometr706 Md TL" w:hAnsi="Geometr706 Md TL"/>
        </w:rPr>
        <w:t>Ar cieņu,</w:t>
      </w:r>
    </w:p>
    <w:p w:rsidR="0038735E" w:rsidRPr="0038735E" w:rsidRDefault="0038735E" w:rsidP="0038735E">
      <w:pPr>
        <w:tabs>
          <w:tab w:val="left" w:pos="7920"/>
        </w:tabs>
        <w:spacing w:after="0"/>
        <w:ind w:firstLine="709"/>
        <w:jc w:val="right"/>
        <w:rPr>
          <w:rFonts w:ascii="Geometr706 Md TL" w:hAnsi="Geometr706 Md TL"/>
        </w:rPr>
      </w:pPr>
      <w:r w:rsidRPr="0038735E">
        <w:rPr>
          <w:rFonts w:ascii="Geometr706 Md TL" w:hAnsi="Geometr706 Md TL"/>
        </w:rPr>
        <w:t>Baiba Vītoliņa</w:t>
      </w:r>
    </w:p>
    <w:p w:rsidR="0038735E" w:rsidRPr="0038735E" w:rsidRDefault="0038735E">
      <w:pPr>
        <w:rPr>
          <w:rFonts w:ascii="Geometr706 Md TL" w:hAnsi="Geometr706 Md TL"/>
        </w:rPr>
      </w:pPr>
      <w:r w:rsidRPr="0038735E">
        <w:rPr>
          <w:rFonts w:ascii="Geometr706 Md TL" w:hAnsi="Geometr706 Md TL"/>
        </w:rPr>
        <w:br w:type="page"/>
      </w:r>
    </w:p>
    <w:p w:rsidR="0038735E" w:rsidRPr="0038735E" w:rsidRDefault="0038735E" w:rsidP="0038735E">
      <w:pPr>
        <w:tabs>
          <w:tab w:val="left" w:pos="7920"/>
        </w:tabs>
        <w:spacing w:after="0"/>
        <w:ind w:firstLine="709"/>
        <w:jc w:val="both"/>
        <w:rPr>
          <w:rFonts w:ascii="Geometr706 Md TL" w:hAnsi="Geometr706 Md TL"/>
        </w:rPr>
      </w:pPr>
    </w:p>
    <w:p w:rsidR="0038735E" w:rsidRPr="0038735E" w:rsidRDefault="0038735E" w:rsidP="0038735E">
      <w:pPr>
        <w:tabs>
          <w:tab w:val="left" w:pos="7920"/>
        </w:tabs>
        <w:spacing w:line="240" w:lineRule="auto"/>
        <w:rPr>
          <w:rFonts w:ascii="Geometr706 Md TL" w:hAnsi="Geometr706 Md TL"/>
        </w:rPr>
      </w:pPr>
    </w:p>
    <w:p w:rsidR="0038735E" w:rsidRPr="0038735E" w:rsidRDefault="0038735E" w:rsidP="0038735E">
      <w:pPr>
        <w:tabs>
          <w:tab w:val="left" w:pos="7920"/>
        </w:tabs>
        <w:spacing w:line="240" w:lineRule="auto"/>
        <w:rPr>
          <w:rFonts w:ascii="Geometr706 Md TL" w:hAnsi="Geometr706 Md TL"/>
        </w:rPr>
        <w:sectPr w:rsidR="0038735E" w:rsidRPr="0038735E" w:rsidSect="0038735E">
          <w:type w:val="continuous"/>
          <w:pgSz w:w="11906" w:h="16838"/>
          <w:pgMar w:top="851" w:right="991" w:bottom="993" w:left="1276" w:header="708" w:footer="708" w:gutter="0"/>
          <w:cols w:num="2" w:space="282"/>
          <w:docGrid w:linePitch="360"/>
        </w:sectPr>
      </w:pPr>
    </w:p>
    <w:p w:rsidR="0038735E" w:rsidRPr="0038735E" w:rsidRDefault="0038735E" w:rsidP="0038735E">
      <w:pPr>
        <w:jc w:val="center"/>
        <w:rPr>
          <w:rFonts w:ascii="Geometr706 Md TL" w:hAnsi="Geometr706 Md TL"/>
          <w:b/>
          <w:noProof/>
          <w:sz w:val="28"/>
          <w:szCs w:val="28"/>
        </w:rPr>
      </w:pPr>
      <w:r w:rsidRPr="0038735E">
        <w:rPr>
          <w:rFonts w:ascii="Geometr706 Md TL" w:hAnsi="Geometr706 Md TL"/>
          <w:b/>
          <w:noProof/>
          <w:sz w:val="28"/>
          <w:szCs w:val="28"/>
        </w:rPr>
        <w:lastRenderedPageBreak/>
        <w:t>Saīsinājumi</w:t>
      </w:r>
    </w:p>
    <w:tbl>
      <w:tblPr>
        <w:tblStyle w:val="LightGrid-Accent1"/>
        <w:tblpPr w:leftFromText="180" w:rightFromText="180" w:vertAnchor="text" w:horzAnchor="margin" w:tblpY="286"/>
        <w:tblW w:w="0" w:type="auto"/>
        <w:tblLook w:val="04A0" w:firstRow="1" w:lastRow="0" w:firstColumn="1" w:lastColumn="0" w:noHBand="0" w:noVBand="1"/>
      </w:tblPr>
      <w:tblGrid>
        <w:gridCol w:w="2660"/>
        <w:gridCol w:w="5812"/>
      </w:tblGrid>
      <w:tr w:rsidR="0038735E" w:rsidRPr="0038735E" w:rsidTr="00256E7F">
        <w:trPr>
          <w:cnfStyle w:val="100000000000" w:firstRow="1" w:lastRow="0" w:firstColumn="0" w:lastColumn="0" w:oddVBand="0" w:evenVBand="0" w:oddHBand="0"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pStyle w:val="Heading4"/>
              <w:spacing w:before="0" w:line="276" w:lineRule="auto"/>
              <w:jc w:val="center"/>
              <w:outlineLvl w:val="3"/>
              <w:rPr>
                <w:rFonts w:ascii="Geometr706 Md TL" w:hAnsi="Geometr706 Md TL" w:cs="Times New Roman"/>
                <w:b/>
                <w:i w:val="0"/>
                <w:color w:val="auto"/>
                <w:sz w:val="20"/>
                <w:szCs w:val="20"/>
              </w:rPr>
            </w:pPr>
            <w:bookmarkStart w:id="2" w:name="_Saīsinājums"/>
            <w:bookmarkEnd w:id="2"/>
            <w:r w:rsidRPr="0038735E">
              <w:rPr>
                <w:rFonts w:ascii="Geometr706 Md TL" w:hAnsi="Geometr706 Md TL" w:cs="Times New Roman"/>
                <w:b/>
                <w:i w:val="0"/>
                <w:color w:val="auto"/>
                <w:sz w:val="20"/>
                <w:szCs w:val="20"/>
              </w:rPr>
              <w:t>Saīsinājums</w:t>
            </w:r>
          </w:p>
        </w:tc>
        <w:tc>
          <w:tcPr>
            <w:tcW w:w="5812" w:type="dxa"/>
            <w:vAlign w:val="center"/>
          </w:tcPr>
          <w:p w:rsidR="0038735E" w:rsidRPr="0038735E" w:rsidRDefault="0038735E" w:rsidP="00256E7F">
            <w:pPr>
              <w:pStyle w:val="Heading4"/>
              <w:spacing w:before="0" w:line="276" w:lineRule="auto"/>
              <w:jc w:val="center"/>
              <w:outlineLvl w:val="3"/>
              <w:cnfStyle w:val="100000000000" w:firstRow="1" w:lastRow="0" w:firstColumn="0" w:lastColumn="0" w:oddVBand="0" w:evenVBand="0" w:oddHBand="0" w:evenHBand="0" w:firstRowFirstColumn="0" w:firstRowLastColumn="0" w:lastRowFirstColumn="0" w:lastRowLastColumn="0"/>
              <w:rPr>
                <w:rFonts w:ascii="Geometr706 Md TL" w:hAnsi="Geometr706 Md TL" w:cs="Times New Roman"/>
                <w:b/>
                <w:i w:val="0"/>
                <w:color w:val="auto"/>
                <w:sz w:val="20"/>
                <w:szCs w:val="20"/>
              </w:rPr>
            </w:pPr>
            <w:r w:rsidRPr="0038735E">
              <w:rPr>
                <w:rFonts w:ascii="Geometr706 Md TL" w:hAnsi="Geometr706 Md TL" w:cs="Times New Roman"/>
                <w:b/>
                <w:i w:val="0"/>
                <w:color w:val="auto"/>
                <w:sz w:val="20"/>
                <w:szCs w:val="20"/>
              </w:rPr>
              <w:t>Skaidrojums</w:t>
            </w:r>
          </w:p>
        </w:tc>
      </w:tr>
      <w:tr w:rsidR="0038735E" w:rsidRPr="0038735E" w:rsidTr="00256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BIR</w:t>
            </w:r>
          </w:p>
        </w:tc>
        <w:tc>
          <w:tcPr>
            <w:tcW w:w="5812" w:type="dxa"/>
            <w:vAlign w:val="center"/>
          </w:tcPr>
          <w:p w:rsidR="0038735E" w:rsidRPr="0038735E" w:rsidRDefault="0038735E" w:rsidP="00256E7F">
            <w:pPr>
              <w:cnfStyle w:val="000000100000" w:firstRow="0" w:lastRow="0" w:firstColumn="0" w:lastColumn="0" w:oddVBand="0" w:evenVBand="0" w:oddHBand="1" w:evenHBand="0"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Bīstamo iekārtu reģistrs</w:t>
            </w:r>
          </w:p>
        </w:tc>
      </w:tr>
      <w:tr w:rsidR="0038735E" w:rsidRPr="0038735E" w:rsidTr="00256E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CPC</w:t>
            </w:r>
          </w:p>
        </w:tc>
        <w:tc>
          <w:tcPr>
            <w:tcW w:w="5812" w:type="dxa"/>
            <w:vAlign w:val="center"/>
          </w:tcPr>
          <w:p w:rsidR="0038735E" w:rsidRPr="0038735E" w:rsidRDefault="0038735E" w:rsidP="00256E7F">
            <w:pPr>
              <w:cnfStyle w:val="000000010000" w:firstRow="0" w:lastRow="0" w:firstColumn="0" w:lastColumn="0" w:oddVBand="0" w:evenVBand="0" w:oddHBand="0" w:evenHBand="1"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Patērētāju tiesību aizsardzības institūciju sadarbība ES regulas Nr. 2006/2004 ietvaros</w:t>
            </w:r>
          </w:p>
        </w:tc>
      </w:tr>
      <w:tr w:rsidR="0038735E" w:rsidRPr="0038735E" w:rsidTr="00256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 xml:space="preserve">ECC </w:t>
            </w:r>
            <w:proofErr w:type="spellStart"/>
            <w:r w:rsidRPr="0038735E">
              <w:rPr>
                <w:rFonts w:ascii="Geometr706 Md TL" w:hAnsi="Geometr706 Md TL"/>
                <w:i/>
                <w:sz w:val="22"/>
                <w:szCs w:val="22"/>
              </w:rPr>
              <w:t>Latvia</w:t>
            </w:r>
            <w:proofErr w:type="spellEnd"/>
          </w:p>
        </w:tc>
        <w:tc>
          <w:tcPr>
            <w:tcW w:w="5812" w:type="dxa"/>
            <w:vAlign w:val="center"/>
          </w:tcPr>
          <w:p w:rsidR="0038735E" w:rsidRPr="0038735E" w:rsidRDefault="0038735E" w:rsidP="00256E7F">
            <w:pPr>
              <w:cnfStyle w:val="000000100000" w:firstRow="0" w:lastRow="0" w:firstColumn="0" w:lastColumn="0" w:oddVBand="0" w:evenVBand="0" w:oddHBand="1" w:evenHBand="0"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Eiropas Patērētāju informēšanas centrs</w:t>
            </w:r>
          </w:p>
        </w:tc>
      </w:tr>
      <w:tr w:rsidR="0038735E" w:rsidRPr="0038735E" w:rsidTr="00256E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ECC-</w:t>
            </w:r>
            <w:proofErr w:type="spellStart"/>
            <w:r w:rsidRPr="0038735E">
              <w:rPr>
                <w:rFonts w:ascii="Geometr706 Md TL" w:hAnsi="Geometr706 Md TL"/>
                <w:i/>
                <w:sz w:val="22"/>
                <w:szCs w:val="22"/>
              </w:rPr>
              <w:t>Net</w:t>
            </w:r>
            <w:proofErr w:type="spellEnd"/>
          </w:p>
        </w:tc>
        <w:tc>
          <w:tcPr>
            <w:tcW w:w="5812" w:type="dxa"/>
            <w:vAlign w:val="center"/>
          </w:tcPr>
          <w:p w:rsidR="0038735E" w:rsidRPr="0038735E" w:rsidRDefault="0038735E" w:rsidP="00256E7F">
            <w:pPr>
              <w:cnfStyle w:val="000000010000" w:firstRow="0" w:lastRow="0" w:firstColumn="0" w:lastColumn="0" w:oddVBand="0" w:evenVBand="0" w:oddHBand="0" w:evenHBand="1"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Eiropas Patērētāju centru tīkls</w:t>
            </w:r>
          </w:p>
        </w:tc>
      </w:tr>
      <w:tr w:rsidR="0038735E" w:rsidRPr="0038735E" w:rsidTr="00256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EK</w:t>
            </w:r>
          </w:p>
        </w:tc>
        <w:tc>
          <w:tcPr>
            <w:tcW w:w="5812" w:type="dxa"/>
            <w:vAlign w:val="center"/>
          </w:tcPr>
          <w:p w:rsidR="0038735E" w:rsidRPr="0038735E" w:rsidRDefault="0038735E" w:rsidP="00256E7F">
            <w:pPr>
              <w:cnfStyle w:val="000000100000" w:firstRow="0" w:lastRow="0" w:firstColumn="0" w:lastColumn="0" w:oddVBand="0" w:evenVBand="0" w:oddHBand="1" w:evenHBand="0"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Eiropas Komisija</w:t>
            </w:r>
          </w:p>
        </w:tc>
      </w:tr>
      <w:tr w:rsidR="0038735E" w:rsidRPr="0038735E" w:rsidTr="00256E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e-komercija</w:t>
            </w:r>
          </w:p>
        </w:tc>
        <w:tc>
          <w:tcPr>
            <w:tcW w:w="5812" w:type="dxa"/>
            <w:vAlign w:val="center"/>
          </w:tcPr>
          <w:p w:rsidR="0038735E" w:rsidRPr="0038735E" w:rsidRDefault="0038735E" w:rsidP="00256E7F">
            <w:pPr>
              <w:cnfStyle w:val="000000010000" w:firstRow="0" w:lastRow="0" w:firstColumn="0" w:lastColumn="0" w:oddVBand="0" w:evenVBand="0" w:oddHBand="0" w:evenHBand="1"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Preču un pakalpojumu pārdošana vai patērētāju informēšana par preču vai pakalpojumu iegādāšanās iespēju (reklāma), izmantojot interneta tehnoloģijas</w:t>
            </w:r>
          </w:p>
        </w:tc>
      </w:tr>
      <w:tr w:rsidR="0038735E" w:rsidRPr="0038735E" w:rsidTr="00256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EM</w:t>
            </w:r>
          </w:p>
        </w:tc>
        <w:tc>
          <w:tcPr>
            <w:tcW w:w="5812" w:type="dxa"/>
            <w:vAlign w:val="center"/>
          </w:tcPr>
          <w:p w:rsidR="0038735E" w:rsidRPr="0038735E" w:rsidRDefault="0038735E" w:rsidP="00256E7F">
            <w:pPr>
              <w:cnfStyle w:val="000000100000" w:firstRow="0" w:lastRow="0" w:firstColumn="0" w:lastColumn="0" w:oddVBand="0" w:evenVBand="0" w:oddHBand="1" w:evenHBand="0"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Ekonomikas ministrija</w:t>
            </w:r>
          </w:p>
        </w:tc>
      </w:tr>
      <w:tr w:rsidR="0038735E" w:rsidRPr="0038735E" w:rsidTr="00256E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ES</w:t>
            </w:r>
          </w:p>
        </w:tc>
        <w:tc>
          <w:tcPr>
            <w:tcW w:w="5812" w:type="dxa"/>
            <w:vAlign w:val="center"/>
          </w:tcPr>
          <w:p w:rsidR="0038735E" w:rsidRPr="0038735E" w:rsidRDefault="0038735E" w:rsidP="00256E7F">
            <w:pPr>
              <w:cnfStyle w:val="000000010000" w:firstRow="0" w:lastRow="0" w:firstColumn="0" w:lastColumn="0" w:oddVBand="0" w:evenVBand="0" w:oddHBand="0" w:evenHBand="1"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Eiropas Savienība</w:t>
            </w:r>
          </w:p>
        </w:tc>
      </w:tr>
      <w:tr w:rsidR="0038735E" w:rsidRPr="0038735E" w:rsidTr="00256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GRAS RAPEX</w:t>
            </w:r>
          </w:p>
        </w:tc>
        <w:tc>
          <w:tcPr>
            <w:tcW w:w="5812" w:type="dxa"/>
            <w:vAlign w:val="center"/>
          </w:tcPr>
          <w:p w:rsidR="0038735E" w:rsidRPr="0038735E" w:rsidRDefault="0038735E" w:rsidP="00256E7F">
            <w:pPr>
              <w:cnfStyle w:val="000000100000" w:firstRow="0" w:lastRow="0" w:firstColumn="0" w:lastColumn="0" w:oddVBand="0" w:evenVBand="0" w:oddHBand="1" w:evenHBand="0"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 xml:space="preserve">Informācijas tehnoloģiju platforma, </w:t>
            </w:r>
            <w:r w:rsidRPr="0038735E">
              <w:rPr>
                <w:rFonts w:ascii="Geometr706 Md TL" w:hAnsi="Geometr706 Md TL"/>
                <w:noProof/>
                <w:sz w:val="22"/>
                <w:szCs w:val="22"/>
              </w:rPr>
              <w:t xml:space="preserve">kurā dalībvalstis iesniedz paziņojumus </w:t>
            </w:r>
            <w:r w:rsidRPr="0038735E">
              <w:rPr>
                <w:rFonts w:ascii="Geometr706 Md TL" w:hAnsi="Geometr706 Md TL"/>
                <w:i/>
                <w:noProof/>
                <w:sz w:val="22"/>
                <w:szCs w:val="22"/>
              </w:rPr>
              <w:t>RAPEX</w:t>
            </w:r>
          </w:p>
        </w:tc>
      </w:tr>
      <w:tr w:rsidR="0038735E" w:rsidRPr="0038735E" w:rsidTr="00256E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IAL</w:t>
            </w:r>
          </w:p>
        </w:tc>
        <w:tc>
          <w:tcPr>
            <w:tcW w:w="5812" w:type="dxa"/>
            <w:vAlign w:val="center"/>
          </w:tcPr>
          <w:p w:rsidR="0038735E" w:rsidRPr="0038735E" w:rsidRDefault="0038735E" w:rsidP="00256E7F">
            <w:pPr>
              <w:cnfStyle w:val="000000010000" w:firstRow="0" w:lastRow="0" w:firstColumn="0" w:lastColumn="0" w:oddVBand="0" w:evenVBand="0" w:oddHBand="0" w:evenHBand="1"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Individuālie aizsardzības līdzekļi</w:t>
            </w:r>
          </w:p>
        </w:tc>
      </w:tr>
      <w:tr w:rsidR="0038735E" w:rsidRPr="0038735E" w:rsidTr="00256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ICPEN</w:t>
            </w:r>
          </w:p>
        </w:tc>
        <w:tc>
          <w:tcPr>
            <w:tcW w:w="5812" w:type="dxa"/>
            <w:vAlign w:val="center"/>
          </w:tcPr>
          <w:p w:rsidR="0038735E" w:rsidRPr="0038735E" w:rsidRDefault="0038735E" w:rsidP="00256E7F">
            <w:pPr>
              <w:cnfStyle w:val="000000100000" w:firstRow="0" w:lastRow="0" w:firstColumn="0" w:lastColumn="0" w:oddVBand="0" w:evenVBand="0" w:oddHBand="1" w:evenHBand="0"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Starptautiskais Patērētāju tiesību uzraudzības iestāžu tīkls</w:t>
            </w:r>
          </w:p>
        </w:tc>
      </w:tr>
      <w:tr w:rsidR="0038735E" w:rsidRPr="0038735E" w:rsidTr="00256E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LAPK</w:t>
            </w:r>
          </w:p>
        </w:tc>
        <w:tc>
          <w:tcPr>
            <w:tcW w:w="5812" w:type="dxa"/>
            <w:vAlign w:val="center"/>
          </w:tcPr>
          <w:p w:rsidR="0038735E" w:rsidRPr="0038735E" w:rsidRDefault="0038735E" w:rsidP="00256E7F">
            <w:pPr>
              <w:cnfStyle w:val="000000010000" w:firstRow="0" w:lastRow="0" w:firstColumn="0" w:lastColumn="0" w:oddVBand="0" w:evenVBand="0" w:oddHBand="0" w:evenHBand="1"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Latvijas Administratīvo pārkāpumu kodekss</w:t>
            </w:r>
          </w:p>
        </w:tc>
      </w:tr>
      <w:tr w:rsidR="0038735E" w:rsidRPr="0038735E" w:rsidTr="00256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LRTDEA</w:t>
            </w:r>
          </w:p>
        </w:tc>
        <w:tc>
          <w:tcPr>
            <w:tcW w:w="5812" w:type="dxa"/>
            <w:vAlign w:val="center"/>
          </w:tcPr>
          <w:p w:rsidR="0038735E" w:rsidRPr="0038735E" w:rsidRDefault="0038735E" w:rsidP="00256E7F">
            <w:pPr>
              <w:cnfStyle w:val="000000100000" w:firstRow="0" w:lastRow="0" w:firstColumn="0" w:lastColumn="0" w:oddVBand="0" w:evenVBand="0" w:oddHBand="1" w:evenHBand="0"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Latvijas rūpnieku tehniskas drošības ekspertu apvienība</w:t>
            </w:r>
          </w:p>
        </w:tc>
      </w:tr>
      <w:tr w:rsidR="0038735E" w:rsidRPr="0038735E" w:rsidTr="00256E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MK</w:t>
            </w:r>
          </w:p>
        </w:tc>
        <w:tc>
          <w:tcPr>
            <w:tcW w:w="5812" w:type="dxa"/>
            <w:vAlign w:val="center"/>
          </w:tcPr>
          <w:p w:rsidR="0038735E" w:rsidRPr="0038735E" w:rsidRDefault="0038735E" w:rsidP="00256E7F">
            <w:pPr>
              <w:cnfStyle w:val="000000010000" w:firstRow="0" w:lastRow="0" w:firstColumn="0" w:lastColumn="0" w:oddVBand="0" w:evenVBand="0" w:oddHBand="0" w:evenHBand="1"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Ministru kabinets</w:t>
            </w:r>
          </w:p>
        </w:tc>
      </w:tr>
      <w:tr w:rsidR="0038735E" w:rsidRPr="0038735E" w:rsidTr="00256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PPDL</w:t>
            </w:r>
          </w:p>
        </w:tc>
        <w:tc>
          <w:tcPr>
            <w:tcW w:w="5812" w:type="dxa"/>
            <w:vAlign w:val="center"/>
          </w:tcPr>
          <w:p w:rsidR="0038735E" w:rsidRPr="0038735E" w:rsidRDefault="0038735E" w:rsidP="00256E7F">
            <w:pPr>
              <w:cnfStyle w:val="000000100000" w:firstRow="0" w:lastRow="0" w:firstColumn="0" w:lastColumn="0" w:oddVBand="0" w:evenVBand="0" w:oddHBand="1" w:evenHBand="0"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Preču un pakalpojumu drošuma likums</w:t>
            </w:r>
          </w:p>
        </w:tc>
      </w:tr>
      <w:tr w:rsidR="0038735E" w:rsidRPr="0038735E" w:rsidTr="00256E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PROSAFE</w:t>
            </w:r>
          </w:p>
        </w:tc>
        <w:tc>
          <w:tcPr>
            <w:tcW w:w="5812" w:type="dxa"/>
            <w:vAlign w:val="center"/>
          </w:tcPr>
          <w:p w:rsidR="0038735E" w:rsidRPr="0038735E" w:rsidRDefault="0038735E" w:rsidP="00256E7F">
            <w:pPr>
              <w:cnfStyle w:val="000000010000" w:firstRow="0" w:lastRow="0" w:firstColumn="0" w:lastColumn="0" w:oddVBand="0" w:evenVBand="0" w:oddHBand="0" w:evenHBand="1"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Preču drošuma uzraudzības iestāžu tīkls</w:t>
            </w:r>
          </w:p>
        </w:tc>
      </w:tr>
      <w:tr w:rsidR="0038735E" w:rsidRPr="0038735E" w:rsidTr="00256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PTAC</w:t>
            </w:r>
          </w:p>
        </w:tc>
        <w:tc>
          <w:tcPr>
            <w:tcW w:w="5812" w:type="dxa"/>
            <w:vAlign w:val="center"/>
          </w:tcPr>
          <w:p w:rsidR="0038735E" w:rsidRPr="0038735E" w:rsidRDefault="0038735E" w:rsidP="00256E7F">
            <w:pPr>
              <w:cnfStyle w:val="000000100000" w:firstRow="0" w:lastRow="0" w:firstColumn="0" w:lastColumn="0" w:oddVBand="0" w:evenVBand="0" w:oddHBand="1" w:evenHBand="0"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Patērētāju tiesību aizsardzības centrs</w:t>
            </w:r>
          </w:p>
        </w:tc>
      </w:tr>
      <w:tr w:rsidR="0038735E" w:rsidRPr="0038735E" w:rsidTr="00256E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PTAL</w:t>
            </w:r>
          </w:p>
        </w:tc>
        <w:tc>
          <w:tcPr>
            <w:tcW w:w="5812" w:type="dxa"/>
            <w:vAlign w:val="center"/>
          </w:tcPr>
          <w:p w:rsidR="0038735E" w:rsidRPr="0038735E" w:rsidRDefault="0038735E" w:rsidP="00256E7F">
            <w:pPr>
              <w:cnfStyle w:val="000000010000" w:firstRow="0" w:lastRow="0" w:firstColumn="0" w:lastColumn="0" w:oddVBand="0" w:evenVBand="0" w:oddHBand="0" w:evenHBand="1"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Patērētāju tiesību aizsardzības likums</w:t>
            </w:r>
          </w:p>
        </w:tc>
      </w:tr>
      <w:tr w:rsidR="0038735E" w:rsidRPr="0038735E" w:rsidTr="00256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PVD</w:t>
            </w:r>
          </w:p>
        </w:tc>
        <w:tc>
          <w:tcPr>
            <w:tcW w:w="5812" w:type="dxa"/>
            <w:vAlign w:val="center"/>
          </w:tcPr>
          <w:p w:rsidR="0038735E" w:rsidRPr="0038735E" w:rsidRDefault="0038735E" w:rsidP="00256E7F">
            <w:pPr>
              <w:cnfStyle w:val="000000100000" w:firstRow="0" w:lastRow="0" w:firstColumn="0" w:lastColumn="0" w:oddVBand="0" w:evenVBand="0" w:oddHBand="1" w:evenHBand="0"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Pārtikas un veterinārais dienests</w:t>
            </w:r>
          </w:p>
        </w:tc>
      </w:tr>
      <w:tr w:rsidR="0038735E" w:rsidRPr="0038735E" w:rsidTr="00256E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PVN</w:t>
            </w:r>
          </w:p>
        </w:tc>
        <w:tc>
          <w:tcPr>
            <w:tcW w:w="5812" w:type="dxa"/>
            <w:vAlign w:val="center"/>
          </w:tcPr>
          <w:p w:rsidR="0038735E" w:rsidRPr="0038735E" w:rsidRDefault="0038735E" w:rsidP="00256E7F">
            <w:pPr>
              <w:cnfStyle w:val="000000010000" w:firstRow="0" w:lastRow="0" w:firstColumn="0" w:lastColumn="0" w:oddVBand="0" w:evenVBand="0" w:oddHBand="0" w:evenHBand="1"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Pievienotās vērtības nodoklis</w:t>
            </w:r>
          </w:p>
        </w:tc>
      </w:tr>
      <w:tr w:rsidR="0038735E" w:rsidRPr="0038735E" w:rsidTr="00256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RAPEX</w:t>
            </w:r>
          </w:p>
        </w:tc>
        <w:tc>
          <w:tcPr>
            <w:tcW w:w="5812" w:type="dxa"/>
            <w:vAlign w:val="center"/>
          </w:tcPr>
          <w:p w:rsidR="0038735E" w:rsidRPr="0038735E" w:rsidRDefault="0038735E" w:rsidP="00256E7F">
            <w:pPr>
              <w:cnfStyle w:val="000000100000" w:firstRow="0" w:lastRow="0" w:firstColumn="0" w:lastColumn="0" w:oddVBand="0" w:evenVBand="0" w:oddHBand="1" w:evenHBand="0"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ES Ātrās informācijas apmaiņas sistēma par nepārtikas preču un pakalpojumu drošumu</w:t>
            </w:r>
          </w:p>
        </w:tc>
      </w:tr>
      <w:tr w:rsidR="0038735E" w:rsidRPr="0038735E" w:rsidTr="00256E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TATO</w:t>
            </w:r>
          </w:p>
        </w:tc>
        <w:tc>
          <w:tcPr>
            <w:tcW w:w="5812" w:type="dxa"/>
            <w:vAlign w:val="center"/>
          </w:tcPr>
          <w:p w:rsidR="0038735E" w:rsidRPr="0038735E" w:rsidRDefault="0038735E" w:rsidP="00256E7F">
            <w:pPr>
              <w:cnfStyle w:val="000000010000" w:firstRow="0" w:lastRow="0" w:firstColumn="0" w:lastColumn="0" w:oddVBand="0" w:evenVBand="0" w:oddHBand="0" w:evenHBand="1"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Tūrisma aģentu un tūrisma operatoru datubāze</w:t>
            </w:r>
          </w:p>
        </w:tc>
      </w:tr>
      <w:tr w:rsidR="0038735E" w:rsidRPr="0038735E" w:rsidTr="00256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VI</w:t>
            </w:r>
          </w:p>
        </w:tc>
        <w:tc>
          <w:tcPr>
            <w:tcW w:w="5812" w:type="dxa"/>
            <w:vAlign w:val="center"/>
          </w:tcPr>
          <w:p w:rsidR="0038735E" w:rsidRPr="0038735E" w:rsidRDefault="0038735E" w:rsidP="00256E7F">
            <w:pPr>
              <w:cnfStyle w:val="000000100000" w:firstRow="0" w:lastRow="0" w:firstColumn="0" w:lastColumn="0" w:oddVBand="0" w:evenVBand="0" w:oddHBand="1" w:evenHBand="0"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Veselības inspekcija</w:t>
            </w:r>
          </w:p>
        </w:tc>
      </w:tr>
      <w:tr w:rsidR="0038735E" w:rsidRPr="0038735E" w:rsidTr="00256E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VM</w:t>
            </w:r>
          </w:p>
        </w:tc>
        <w:tc>
          <w:tcPr>
            <w:tcW w:w="5812" w:type="dxa"/>
            <w:vAlign w:val="center"/>
          </w:tcPr>
          <w:p w:rsidR="0038735E" w:rsidRPr="0038735E" w:rsidRDefault="0038735E" w:rsidP="00256E7F">
            <w:pPr>
              <w:cnfStyle w:val="000000010000" w:firstRow="0" w:lastRow="0" w:firstColumn="0" w:lastColumn="0" w:oddVBand="0" w:evenVBand="0" w:oddHBand="0" w:evenHBand="1"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Veselības ministrija</w:t>
            </w:r>
          </w:p>
        </w:tc>
      </w:tr>
      <w:tr w:rsidR="0038735E" w:rsidRPr="0038735E" w:rsidTr="00256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VID</w:t>
            </w:r>
          </w:p>
        </w:tc>
        <w:tc>
          <w:tcPr>
            <w:tcW w:w="5812" w:type="dxa"/>
            <w:vAlign w:val="center"/>
          </w:tcPr>
          <w:p w:rsidR="0038735E" w:rsidRPr="0038735E" w:rsidRDefault="0038735E" w:rsidP="00256E7F">
            <w:pPr>
              <w:cnfStyle w:val="000000100000" w:firstRow="0" w:lastRow="0" w:firstColumn="0" w:lastColumn="0" w:oddVBand="0" w:evenVBand="0" w:oddHBand="1" w:evenHBand="0"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Valsts ieņēmumu dienests</w:t>
            </w:r>
          </w:p>
        </w:tc>
      </w:tr>
      <w:tr w:rsidR="0038735E" w:rsidRPr="0038735E" w:rsidTr="00256E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VUGD</w:t>
            </w:r>
          </w:p>
        </w:tc>
        <w:tc>
          <w:tcPr>
            <w:tcW w:w="5812" w:type="dxa"/>
            <w:vAlign w:val="center"/>
          </w:tcPr>
          <w:p w:rsidR="0038735E" w:rsidRPr="0038735E" w:rsidRDefault="0038735E" w:rsidP="00256E7F">
            <w:pPr>
              <w:cnfStyle w:val="000000010000" w:firstRow="0" w:lastRow="0" w:firstColumn="0" w:lastColumn="0" w:oddVBand="0" w:evenVBand="0" w:oddHBand="0" w:evenHBand="1"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Valsts ugunsdzēsības un glābšanas dienests</w:t>
            </w:r>
          </w:p>
        </w:tc>
      </w:tr>
      <w:tr w:rsidR="0038735E" w:rsidRPr="0038735E" w:rsidTr="00256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VARAM</w:t>
            </w:r>
          </w:p>
        </w:tc>
        <w:tc>
          <w:tcPr>
            <w:tcW w:w="5812" w:type="dxa"/>
            <w:vAlign w:val="center"/>
          </w:tcPr>
          <w:p w:rsidR="0038735E" w:rsidRPr="0038735E" w:rsidRDefault="0038735E" w:rsidP="00256E7F">
            <w:pPr>
              <w:cnfStyle w:val="000000100000" w:firstRow="0" w:lastRow="0" w:firstColumn="0" w:lastColumn="0" w:oddVBand="0" w:evenVBand="0" w:oddHBand="1" w:evenHBand="0"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Vides aizsardzības un reģionālās attīstības ministrija</w:t>
            </w:r>
          </w:p>
        </w:tc>
      </w:tr>
      <w:tr w:rsidR="0038735E" w:rsidRPr="0038735E" w:rsidTr="00256E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rsidR="0038735E" w:rsidRPr="0038735E" w:rsidRDefault="0038735E" w:rsidP="00256E7F">
            <w:pPr>
              <w:rPr>
                <w:rFonts w:ascii="Geometr706 Md TL" w:hAnsi="Geometr706 Md TL"/>
                <w:i/>
                <w:sz w:val="22"/>
                <w:szCs w:val="22"/>
              </w:rPr>
            </w:pPr>
            <w:r w:rsidRPr="0038735E">
              <w:rPr>
                <w:rFonts w:ascii="Geometr706 Md TL" w:hAnsi="Geometr706 Md TL"/>
                <w:i/>
                <w:sz w:val="22"/>
                <w:szCs w:val="22"/>
              </w:rPr>
              <w:t>REACH regula</w:t>
            </w:r>
          </w:p>
        </w:tc>
        <w:tc>
          <w:tcPr>
            <w:tcW w:w="5812" w:type="dxa"/>
            <w:vAlign w:val="center"/>
          </w:tcPr>
          <w:p w:rsidR="0038735E" w:rsidRPr="0038735E" w:rsidRDefault="0038735E" w:rsidP="00256E7F">
            <w:pPr>
              <w:cnfStyle w:val="000000010000" w:firstRow="0" w:lastRow="0" w:firstColumn="0" w:lastColumn="0" w:oddVBand="0" w:evenVBand="0" w:oddHBand="0" w:evenHBand="1" w:firstRowFirstColumn="0" w:firstRowLastColumn="0" w:lastRowFirstColumn="0" w:lastRowLastColumn="0"/>
              <w:rPr>
                <w:rFonts w:ascii="Geometr706 Md TL" w:hAnsi="Geometr706 Md TL"/>
                <w:sz w:val="22"/>
                <w:szCs w:val="22"/>
              </w:rPr>
            </w:pPr>
            <w:r w:rsidRPr="0038735E">
              <w:rPr>
                <w:rFonts w:ascii="Geometr706 Md TL" w:hAnsi="Geometr706 Md TL"/>
                <w:sz w:val="22"/>
                <w:szCs w:val="22"/>
              </w:rPr>
              <w:t>Eiropas Parlamenta un Padomes regula (EK) Nr. 1907/2006 (2006. gada 18. decembris), kas attiecas uz ķimikāliju reģistrēšanu, vērtēšanu, licencēšanu un ierobežošanu</w:t>
            </w:r>
          </w:p>
        </w:tc>
      </w:tr>
    </w:tbl>
    <w:p w:rsidR="0038735E" w:rsidRDefault="0038735E" w:rsidP="003C2817">
      <w:pPr>
        <w:rPr>
          <w:rFonts w:ascii="Geometr706 Md TL" w:hAnsi="Geometr706 Md TL"/>
        </w:rPr>
      </w:pPr>
    </w:p>
    <w:p w:rsidR="00256E7F" w:rsidRPr="00256E7F" w:rsidRDefault="00256E7F" w:rsidP="00256E7F">
      <w:pPr>
        <w:pStyle w:val="Heading1"/>
        <w:pageBreakBefore/>
        <w:ind w:right="85"/>
        <w:rPr>
          <w:rFonts w:ascii="Geometr706 Md TL" w:hAnsi="Geometr706 Md TL"/>
          <w:sz w:val="32"/>
          <w:szCs w:val="32"/>
        </w:rPr>
      </w:pPr>
      <w:bookmarkStart w:id="3" w:name="_Toc380143866"/>
      <w:bookmarkStart w:id="4" w:name="_Toc380147106"/>
      <w:bookmarkStart w:id="5" w:name="_Toc392836091"/>
      <w:r w:rsidRPr="00256E7F">
        <w:rPr>
          <w:rFonts w:ascii="Geometr706 Md TL" w:hAnsi="Geometr706 Md TL"/>
          <w:sz w:val="32"/>
          <w:szCs w:val="32"/>
        </w:rPr>
        <w:lastRenderedPageBreak/>
        <w:t>1. Pamatinformācija</w:t>
      </w:r>
      <w:bookmarkStart w:id="6" w:name="_Toc355256493"/>
      <w:bookmarkStart w:id="7" w:name="_Toc355696781"/>
      <w:bookmarkEnd w:id="3"/>
      <w:bookmarkEnd w:id="4"/>
      <w:bookmarkEnd w:id="5"/>
    </w:p>
    <w:p w:rsidR="00256E7F" w:rsidRPr="00256E7F" w:rsidRDefault="00256E7F" w:rsidP="00256E7F">
      <w:pPr>
        <w:pStyle w:val="Heading2"/>
        <w:spacing w:after="240"/>
        <w:jc w:val="center"/>
        <w:rPr>
          <w:rFonts w:ascii="Geometr706 Md TL" w:hAnsi="Geometr706 Md TL" w:cs="Times New Roman"/>
          <w:color w:val="auto"/>
          <w:sz w:val="28"/>
          <w:szCs w:val="28"/>
          <w:lang w:eastAsia="en-US"/>
        </w:rPr>
      </w:pPr>
      <w:bookmarkStart w:id="8" w:name="_1.1.Patērētāju_tiesību_aizsardzības"/>
      <w:bookmarkStart w:id="9" w:name="_Toc380143867"/>
      <w:bookmarkStart w:id="10" w:name="_Toc380147107"/>
      <w:bookmarkStart w:id="11" w:name="_Toc392836092"/>
      <w:bookmarkEnd w:id="8"/>
      <w:r w:rsidRPr="00256E7F">
        <w:rPr>
          <w:rFonts w:ascii="Geometr706 Md TL" w:hAnsi="Geometr706 Md TL" w:cs="Times New Roman"/>
          <w:color w:val="auto"/>
          <w:sz w:val="28"/>
          <w:szCs w:val="28"/>
        </w:rPr>
        <w:t>1.1. PTAC juridiskais statuss, izveidošana</w:t>
      </w:r>
      <w:bookmarkEnd w:id="6"/>
      <w:bookmarkEnd w:id="7"/>
      <w:bookmarkEnd w:id="9"/>
      <w:bookmarkEnd w:id="10"/>
      <w:bookmarkEnd w:id="11"/>
    </w:p>
    <w:p w:rsidR="00256E7F" w:rsidRPr="00256E7F" w:rsidRDefault="00256E7F" w:rsidP="00256E7F">
      <w:pPr>
        <w:spacing w:line="240" w:lineRule="auto"/>
        <w:ind w:right="40" w:firstLine="720"/>
        <w:jc w:val="both"/>
        <w:rPr>
          <w:rFonts w:ascii="Geometr706 Md TL" w:hAnsi="Geometr706 Md TL"/>
          <w:sz w:val="20"/>
          <w:szCs w:val="20"/>
        </w:rPr>
      </w:pPr>
      <w:r w:rsidRPr="00256E7F">
        <w:rPr>
          <w:rFonts w:ascii="Geometr706 Md TL" w:hAnsi="Geometr706 Md TL"/>
          <w:sz w:val="20"/>
          <w:szCs w:val="20"/>
        </w:rPr>
        <w:t>PTAC ir tiešās pārvaldes iestāde EM padotībā, kas tiek realizēta pārraudzības formā. PTAC darbības mērķis ir efektīvas patērētāju tiesību un interešu aizsardzības nodrošināšana. PTAC tika izveidots 1998. gadā uz Tirdzniecības un pakalpojumu kontroles centra bāzes, un tas darbojas saskaņā ar PTAL, MK 01.08.2006. noteikumiem Nr. 632 „Patērētāju tiesību aizsardzības centra nolikums”, kā arī citiem likumiem un MK noteikumiem. PTAC kopš 2013. gada augusta atrodas Rīgā, Brīvības ielā 55. PTAC darbu organizē un vada direktors, kurš ir atbildīgs par visu iestādei uzticēto funkciju izpildi. PTAC direktors pilda Valsts pārvaldes iekārtas likumā noteiktās tiešās pārvaldes iestādes vadītāja funkcijas, kā arī nosaka struktūru, katras struktūrvienības funkcijas un padotību.</w:t>
      </w:r>
    </w:p>
    <w:p w:rsidR="00256E7F" w:rsidRPr="00256E7F" w:rsidRDefault="00256E7F" w:rsidP="00256E7F">
      <w:pPr>
        <w:spacing w:after="240"/>
        <w:ind w:right="41" w:firstLine="720"/>
        <w:jc w:val="center"/>
        <w:rPr>
          <w:rFonts w:ascii="Geometr706 Md TL" w:hAnsi="Geometr706 Md TL"/>
          <w:b/>
        </w:rPr>
      </w:pPr>
      <w:r w:rsidRPr="00256E7F">
        <w:rPr>
          <w:rFonts w:ascii="Geometr706 Md TL" w:hAnsi="Geometr706 Md TL"/>
          <w:b/>
        </w:rPr>
        <w:t>PTAC struktūra 2013. gadā</w:t>
      </w:r>
    </w:p>
    <w:p w:rsidR="00256E7F" w:rsidRPr="00256E7F" w:rsidRDefault="00256E7F" w:rsidP="00CA23EA">
      <w:pPr>
        <w:spacing w:after="240"/>
        <w:ind w:left="-1418" w:right="41"/>
        <w:jc w:val="center"/>
        <w:rPr>
          <w:rFonts w:ascii="Geometr706 Md TL" w:hAnsi="Geometr706 Md TL"/>
          <w:b/>
        </w:rPr>
      </w:pPr>
      <w:r w:rsidRPr="00256E7F">
        <w:rPr>
          <w:rFonts w:ascii="Geometr706 Md TL" w:hAnsi="Geometr706 Md TL"/>
          <w:b/>
          <w:noProof/>
          <w:lang w:eastAsia="lv-LV"/>
        </w:rPr>
        <w:drawing>
          <wp:inline distT="0" distB="0" distL="0" distR="0" wp14:anchorId="0749D220" wp14:editId="360ED132">
            <wp:extent cx="9486900" cy="5151120"/>
            <wp:effectExtent l="0" t="19050" r="0" b="0"/>
            <wp:docPr id="81" name="Diagram 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256E7F" w:rsidRPr="00256E7F" w:rsidRDefault="00256E7F" w:rsidP="00256E7F">
      <w:pPr>
        <w:pStyle w:val="Heading2"/>
        <w:spacing w:after="240"/>
        <w:jc w:val="center"/>
        <w:rPr>
          <w:rFonts w:ascii="Geometr706 Md TL" w:hAnsi="Geometr706 Md TL" w:cs="Times New Roman"/>
          <w:noProof/>
          <w:color w:val="auto"/>
          <w:sz w:val="28"/>
          <w:szCs w:val="28"/>
        </w:rPr>
      </w:pPr>
      <w:bookmarkStart w:id="12" w:name="_1.2.Politikas_jomas_un"/>
      <w:bookmarkStart w:id="13" w:name="_Toc380143868"/>
      <w:bookmarkStart w:id="14" w:name="_Toc380147108"/>
      <w:bookmarkStart w:id="15" w:name="_Toc392836093"/>
      <w:bookmarkEnd w:id="12"/>
      <w:r w:rsidRPr="00256E7F">
        <w:rPr>
          <w:rFonts w:ascii="Geometr706 Md TL" w:hAnsi="Geometr706 Md TL" w:cs="Times New Roman"/>
          <w:noProof/>
          <w:color w:val="auto"/>
          <w:sz w:val="28"/>
          <w:szCs w:val="28"/>
        </w:rPr>
        <w:lastRenderedPageBreak/>
        <w:t>1.2. Politikas jomas un darbības jomas</w:t>
      </w:r>
      <w:bookmarkEnd w:id="13"/>
      <w:bookmarkEnd w:id="14"/>
      <w:bookmarkEnd w:id="15"/>
    </w:p>
    <w:p w:rsidR="00256E7F" w:rsidRPr="00256E7F" w:rsidRDefault="00256E7F" w:rsidP="00256E7F">
      <w:pPr>
        <w:pStyle w:val="Default"/>
        <w:ind w:right="40" w:firstLine="709"/>
        <w:jc w:val="both"/>
        <w:rPr>
          <w:rFonts w:ascii="Geometr706 Md TL" w:hAnsi="Geometr706 Md TL"/>
          <w:sz w:val="20"/>
          <w:szCs w:val="20"/>
        </w:rPr>
      </w:pPr>
      <w:bookmarkStart w:id="16" w:name="_1.3.Pārskata_gada_galvenās"/>
      <w:bookmarkEnd w:id="16"/>
      <w:r w:rsidRPr="00256E7F">
        <w:rPr>
          <w:rFonts w:ascii="Geometr706 Md TL" w:hAnsi="Geometr706 Md TL"/>
          <w:sz w:val="20"/>
          <w:szCs w:val="20"/>
        </w:rPr>
        <w:t>PTAC nodrošina PTAL, Negodīgas komercprakses aizlieguma likuma, PPDL, Informācijas sabiedrības pakalpojumu likuma, kā arī citu likumu un MK noteikumu, kas reglamentē patērētāju tiesības, darbību Latvijā. Galvenie PTAC darbības mērķi ir īstenot patērētāju tiesību un interešu aizsardzību, kā arī nodrošināt labvēlīgu uzņēmējdarbības vidi un godīgu konkurenci. Lai nodrošinātu uzticēto funkciju izpildi, galvenie PTAC darbības virzieni ir:</w:t>
      </w:r>
    </w:p>
    <w:p w:rsidR="00256E7F" w:rsidRPr="00256E7F" w:rsidRDefault="00256E7F" w:rsidP="00256E7F">
      <w:pPr>
        <w:pStyle w:val="Default"/>
        <w:ind w:right="40"/>
        <w:jc w:val="both"/>
        <w:rPr>
          <w:rFonts w:ascii="Geometr706 Md TL" w:hAnsi="Geometr706 Md TL"/>
          <w:sz w:val="20"/>
          <w:szCs w:val="20"/>
        </w:rPr>
      </w:pP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patērētāju aizsardzība no nedrošām un normatīvajiem aktiem neatbilstošām precēm un pakalpojumiem, veicot adekvātu un efektīvu tirgus uzraudzību;</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patērētāju kolektīvo, īpaši ekonomisko, interešu aizsardzība, tostarp pārkāpumu novēršana ES pārrobežu kontekstā;</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patērētāju informētības līmeņa paaugstināšanās veicināšana;</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palīdzība patērētājiem, realizējot tiesības uz atlīdzību un efektīvu patērētāju tiesību īstenošanu;</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mērīšanas līdzekļu metroloģiskā uzraudzība un fasēto preču kontrole;</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bīstamo iekārtu lietošanas uzraudzība, veicot attiecīgajos tehniskās uzraudzības normatīvajos aktos paredzētos uzraudzības pasākumus;</w:t>
      </w:r>
    </w:p>
    <w:p w:rsidR="00256E7F" w:rsidRPr="00256E7F" w:rsidRDefault="00256E7F" w:rsidP="00256E7F">
      <w:pPr>
        <w:pStyle w:val="ListParagraph"/>
        <w:numPr>
          <w:ilvl w:val="0"/>
          <w:numId w:val="1"/>
        </w:numPr>
        <w:spacing w:line="240" w:lineRule="auto"/>
        <w:rPr>
          <w:rFonts w:ascii="Geometr706 Md TL" w:hAnsi="Geometr706 Md TL"/>
          <w:sz w:val="20"/>
          <w:szCs w:val="20"/>
        </w:rPr>
      </w:pPr>
      <w:proofErr w:type="spellStart"/>
      <w:r w:rsidRPr="00256E7F">
        <w:rPr>
          <w:rFonts w:ascii="Geometr706 Md TL" w:hAnsi="Geometr706 Md TL"/>
          <w:sz w:val="20"/>
          <w:szCs w:val="20"/>
        </w:rPr>
        <w:t>nebanku</w:t>
      </w:r>
      <w:proofErr w:type="spellEnd"/>
      <w:r w:rsidRPr="00256E7F">
        <w:rPr>
          <w:rFonts w:ascii="Geometr706 Md TL" w:hAnsi="Geometr706 Md TL"/>
          <w:sz w:val="20"/>
          <w:szCs w:val="20"/>
        </w:rPr>
        <w:t xml:space="preserve"> </w:t>
      </w:r>
      <w:proofErr w:type="spellStart"/>
      <w:r w:rsidRPr="00256E7F">
        <w:rPr>
          <w:rFonts w:ascii="Geometr706 Md TL" w:hAnsi="Geometr706 Md TL"/>
          <w:sz w:val="20"/>
          <w:szCs w:val="20"/>
        </w:rPr>
        <w:t>kredītdevēju</w:t>
      </w:r>
      <w:proofErr w:type="spellEnd"/>
      <w:r w:rsidRPr="00256E7F">
        <w:rPr>
          <w:rFonts w:ascii="Geometr706 Md TL" w:hAnsi="Geometr706 Md TL"/>
          <w:sz w:val="20"/>
          <w:szCs w:val="20"/>
        </w:rPr>
        <w:t xml:space="preserve">, </w:t>
      </w:r>
      <w:r w:rsidRPr="00256E7F">
        <w:rPr>
          <w:rFonts w:ascii="Geometr706 Md TL" w:eastAsia="Calibri" w:hAnsi="Geometr706 Md TL"/>
          <w:sz w:val="20"/>
          <w:szCs w:val="20"/>
          <w:lang w:eastAsia="en-US"/>
        </w:rPr>
        <w:t>parāda ārpustiesas atgūšanas pakalpojumu sniedzēju</w:t>
      </w:r>
      <w:r w:rsidRPr="00256E7F">
        <w:rPr>
          <w:rFonts w:ascii="Geometr706 Md TL" w:hAnsi="Geometr706 Md TL"/>
          <w:sz w:val="20"/>
          <w:szCs w:val="20"/>
        </w:rPr>
        <w:t xml:space="preserve"> licencēšana un finanšu pakalpojumu sniedzēju tirgus uzraudzība.</w:t>
      </w:r>
    </w:p>
    <w:p w:rsidR="00256E7F" w:rsidRPr="00256E7F" w:rsidRDefault="00256E7F" w:rsidP="00256E7F">
      <w:pPr>
        <w:pStyle w:val="Default"/>
        <w:ind w:left="360" w:right="41"/>
        <w:jc w:val="both"/>
        <w:rPr>
          <w:rFonts w:ascii="Geometr706 Md TL" w:hAnsi="Geometr706 Md TL"/>
          <w:b/>
          <w:bCs/>
          <w:sz w:val="20"/>
          <w:szCs w:val="20"/>
        </w:rPr>
      </w:pPr>
    </w:p>
    <w:p w:rsidR="00256E7F" w:rsidRPr="00256E7F" w:rsidRDefault="00256E7F" w:rsidP="00256E7F">
      <w:pPr>
        <w:pStyle w:val="Default"/>
        <w:ind w:left="360" w:right="41"/>
        <w:jc w:val="both"/>
        <w:rPr>
          <w:rFonts w:ascii="Geometr706 Md TL" w:hAnsi="Geometr706 Md TL"/>
          <w:b/>
          <w:bCs/>
          <w:sz w:val="20"/>
          <w:szCs w:val="20"/>
        </w:rPr>
      </w:pPr>
      <w:r w:rsidRPr="00256E7F">
        <w:rPr>
          <w:rFonts w:ascii="Geometr706 Md TL" w:hAnsi="Geometr706 Md TL"/>
          <w:b/>
          <w:bCs/>
          <w:sz w:val="20"/>
          <w:szCs w:val="20"/>
        </w:rPr>
        <w:t>PTAC kompetence :</w:t>
      </w:r>
    </w:p>
    <w:p w:rsidR="00256E7F" w:rsidRPr="00256E7F" w:rsidRDefault="00256E7F" w:rsidP="00256E7F">
      <w:pPr>
        <w:pStyle w:val="Default"/>
        <w:ind w:right="41"/>
        <w:jc w:val="both"/>
        <w:rPr>
          <w:rFonts w:ascii="Geometr706 Md TL" w:hAnsi="Geometr706 Md TL"/>
          <w:b/>
          <w:bCs/>
          <w:sz w:val="20"/>
          <w:szCs w:val="20"/>
        </w:rPr>
      </w:pPr>
    </w:p>
    <w:p w:rsidR="00256E7F" w:rsidRPr="00256E7F" w:rsidRDefault="00256E7F" w:rsidP="00256E7F">
      <w:pPr>
        <w:pStyle w:val="Default"/>
        <w:ind w:right="41" w:firstLine="284"/>
        <w:jc w:val="both"/>
        <w:rPr>
          <w:rFonts w:ascii="Geometr706 Md TL" w:hAnsi="Geometr706 Md TL"/>
          <w:sz w:val="20"/>
          <w:szCs w:val="20"/>
        </w:rPr>
      </w:pPr>
      <w:r w:rsidRPr="00256E7F">
        <w:rPr>
          <w:rFonts w:ascii="Geometr706 Md TL" w:hAnsi="Geometr706 Md TL"/>
          <w:sz w:val="20"/>
          <w:szCs w:val="20"/>
        </w:rPr>
        <w:t>1) nepārtikas preču (izņemot medicīnas preces, zāles, veterinārās zāles, farmaceitiskos produktus, kosmētiskos līdzekļus, veterinārfarmaceitiskos produktus, dzīvnieku kopšanas līdzekļus, sadzīvē lietojamās ķīmiskās vielas un ķīmiskos produktus) tirgus uzraudzība un kontrole;</w:t>
      </w:r>
    </w:p>
    <w:p w:rsidR="00256E7F" w:rsidRPr="00256E7F" w:rsidRDefault="00256E7F" w:rsidP="00256E7F">
      <w:pPr>
        <w:pStyle w:val="Default"/>
        <w:ind w:right="41" w:firstLine="284"/>
        <w:jc w:val="both"/>
        <w:rPr>
          <w:rFonts w:ascii="Geometr706 Md TL" w:hAnsi="Geometr706 Md TL"/>
          <w:sz w:val="20"/>
          <w:szCs w:val="20"/>
        </w:rPr>
      </w:pPr>
      <w:r w:rsidRPr="00256E7F">
        <w:rPr>
          <w:rFonts w:ascii="Geometr706 Md TL" w:hAnsi="Geometr706 Md TL"/>
          <w:sz w:val="20"/>
          <w:szCs w:val="20"/>
        </w:rPr>
        <w:t>2) par patērētāju tiesību pārkāpumiem saņemto patērētāju iesniegumu izskatīšana, palīdzības sniegšana patērētājiem konfliktu risināšanā ar ražotājiem, pārdevējiem vai pakalpojumu sniedzējiem, kā arī patērētāju likumīgo prasību izpildes pieprasīšana;</w:t>
      </w:r>
    </w:p>
    <w:p w:rsidR="00256E7F" w:rsidRPr="00256E7F" w:rsidRDefault="00256E7F" w:rsidP="00256E7F">
      <w:pPr>
        <w:pStyle w:val="Default"/>
        <w:ind w:right="41" w:firstLine="284"/>
        <w:jc w:val="both"/>
        <w:rPr>
          <w:rFonts w:ascii="Geometr706 Md TL" w:hAnsi="Geometr706 Md TL"/>
          <w:sz w:val="20"/>
          <w:szCs w:val="20"/>
        </w:rPr>
      </w:pPr>
      <w:r w:rsidRPr="00256E7F">
        <w:rPr>
          <w:rFonts w:ascii="Geometr706 Md TL" w:hAnsi="Geometr706 Md TL"/>
          <w:sz w:val="20"/>
          <w:szCs w:val="20"/>
        </w:rPr>
        <w:t>3) patērētāju tiesību ievērošanas uzraudzība līgumu projektos un līgumos, ko patērētāji slēdz ar ražotājiem, pārdevējiem vai pakalpojuma sniedzējiem, kā arī normatīvajos aktos paredzēto darbību veikšana, lai ražotājs, pārdevējs vai pakalpojuma sniedzējs izmainītu vai pārtrauktu pildīt līguma projekta vai līguma noteikumus, ja šajā dokumentā konstatēti netaisnīgi vai neskaidri noteikumi;</w:t>
      </w:r>
    </w:p>
    <w:p w:rsidR="00256E7F" w:rsidRPr="00256E7F" w:rsidRDefault="00256E7F" w:rsidP="00256E7F">
      <w:pPr>
        <w:pStyle w:val="Default"/>
        <w:ind w:right="41" w:firstLine="284"/>
        <w:jc w:val="both"/>
        <w:rPr>
          <w:rFonts w:ascii="Geometr706 Md TL" w:hAnsi="Geometr706 Md TL"/>
          <w:sz w:val="20"/>
          <w:szCs w:val="20"/>
        </w:rPr>
      </w:pPr>
      <w:r w:rsidRPr="00256E7F">
        <w:rPr>
          <w:rFonts w:ascii="Geometr706 Md TL" w:hAnsi="Geometr706 Md TL"/>
          <w:sz w:val="20"/>
          <w:szCs w:val="20"/>
        </w:rPr>
        <w:t>4) negodīgas komercprakses, reklāmas un informācijas sabiedrības uzraudzība;</w:t>
      </w:r>
    </w:p>
    <w:p w:rsidR="00256E7F" w:rsidRPr="00256E7F" w:rsidRDefault="00256E7F" w:rsidP="00256E7F">
      <w:pPr>
        <w:pStyle w:val="Default"/>
        <w:ind w:right="40" w:firstLine="284"/>
        <w:jc w:val="both"/>
        <w:rPr>
          <w:rFonts w:ascii="Geometr706 Md TL" w:hAnsi="Geometr706 Md TL"/>
          <w:sz w:val="20"/>
          <w:szCs w:val="20"/>
        </w:rPr>
      </w:pPr>
      <w:r w:rsidRPr="00256E7F">
        <w:rPr>
          <w:rFonts w:ascii="Geometr706 Md TL" w:hAnsi="Geometr706 Md TL"/>
          <w:sz w:val="20"/>
          <w:szCs w:val="20"/>
        </w:rPr>
        <w:t>5) patērētāju un uzņēmēju informēšana un konsultēšana;</w:t>
      </w:r>
    </w:p>
    <w:p w:rsidR="00256E7F" w:rsidRPr="00256E7F" w:rsidRDefault="00256E7F" w:rsidP="00256E7F">
      <w:pPr>
        <w:pStyle w:val="Default"/>
        <w:ind w:right="41" w:firstLine="284"/>
        <w:jc w:val="both"/>
        <w:rPr>
          <w:rFonts w:ascii="Geometr706 Md TL" w:hAnsi="Geometr706 Md TL"/>
          <w:sz w:val="20"/>
          <w:szCs w:val="20"/>
        </w:rPr>
      </w:pPr>
      <w:r w:rsidRPr="00256E7F">
        <w:rPr>
          <w:rFonts w:ascii="Geometr706 Md TL" w:hAnsi="Geometr706 Md TL"/>
          <w:sz w:val="20"/>
          <w:szCs w:val="20"/>
        </w:rPr>
        <w:t>6) pareizas pārtikas un nepārtikas preču svara un mēra noteikšanas, kā arī pareizas pirkuma samaksas aprēķināšanas uzraudzība;</w:t>
      </w:r>
    </w:p>
    <w:p w:rsidR="00256E7F" w:rsidRPr="00256E7F" w:rsidRDefault="00256E7F" w:rsidP="00256E7F">
      <w:pPr>
        <w:pStyle w:val="Default"/>
        <w:ind w:right="41" w:firstLine="284"/>
        <w:jc w:val="both"/>
        <w:rPr>
          <w:rFonts w:ascii="Geometr706 Md TL" w:hAnsi="Geometr706 Md TL"/>
          <w:sz w:val="20"/>
          <w:szCs w:val="20"/>
        </w:rPr>
      </w:pPr>
      <w:r w:rsidRPr="00256E7F">
        <w:rPr>
          <w:rFonts w:ascii="Geometr706 Md TL" w:hAnsi="Geometr706 Md TL"/>
          <w:sz w:val="20"/>
          <w:szCs w:val="20"/>
        </w:rPr>
        <w:t>7) tirgū reglamentētajā sfērā piedāvāto mērīšanas līdzekļu atbilstības normatīvajos aktos noteiktajām prasībām uzraudzība, lietošanā nodoto mērīšanas līdzekļu valsts metroloģiskā uzraudzība, fasēto preču metroloģiskā kontrole;</w:t>
      </w:r>
    </w:p>
    <w:p w:rsidR="00256E7F" w:rsidRPr="00256E7F" w:rsidRDefault="00256E7F" w:rsidP="00256E7F">
      <w:pPr>
        <w:spacing w:line="240" w:lineRule="auto"/>
        <w:ind w:firstLine="284"/>
        <w:rPr>
          <w:rFonts w:ascii="Geometr706 Md TL" w:hAnsi="Geometr706 Md TL"/>
          <w:sz w:val="20"/>
          <w:szCs w:val="20"/>
        </w:rPr>
      </w:pPr>
      <w:r w:rsidRPr="00256E7F">
        <w:rPr>
          <w:rFonts w:ascii="Geometr706 Md TL" w:hAnsi="Geometr706 Md TL"/>
          <w:sz w:val="20"/>
          <w:szCs w:val="20"/>
        </w:rPr>
        <w:t>8) </w:t>
      </w:r>
      <w:proofErr w:type="spellStart"/>
      <w:r w:rsidRPr="00256E7F">
        <w:rPr>
          <w:rFonts w:ascii="Geometr706 Md TL" w:hAnsi="Geometr706 Md TL"/>
          <w:sz w:val="20"/>
          <w:szCs w:val="20"/>
        </w:rPr>
        <w:t>nebanku</w:t>
      </w:r>
      <w:proofErr w:type="spellEnd"/>
      <w:r w:rsidRPr="00256E7F">
        <w:rPr>
          <w:rFonts w:ascii="Geometr706 Md TL" w:hAnsi="Geometr706 Md TL"/>
          <w:sz w:val="20"/>
          <w:szCs w:val="20"/>
        </w:rPr>
        <w:t xml:space="preserve"> </w:t>
      </w:r>
      <w:proofErr w:type="spellStart"/>
      <w:r w:rsidRPr="00256E7F">
        <w:rPr>
          <w:rFonts w:ascii="Geometr706 Md TL" w:hAnsi="Geometr706 Md TL"/>
          <w:sz w:val="20"/>
          <w:szCs w:val="20"/>
        </w:rPr>
        <w:t>kredītdevēju</w:t>
      </w:r>
      <w:proofErr w:type="spellEnd"/>
      <w:r w:rsidRPr="00256E7F">
        <w:rPr>
          <w:rFonts w:ascii="Geometr706 Md TL" w:hAnsi="Geometr706 Md TL"/>
          <w:sz w:val="20"/>
          <w:szCs w:val="20"/>
        </w:rPr>
        <w:t xml:space="preserve"> licencēšana un uzraudzība;</w:t>
      </w:r>
    </w:p>
    <w:p w:rsidR="00256E7F" w:rsidRPr="00256E7F" w:rsidRDefault="00256E7F" w:rsidP="00256E7F">
      <w:pPr>
        <w:spacing w:line="240" w:lineRule="auto"/>
        <w:ind w:firstLine="284"/>
        <w:rPr>
          <w:rFonts w:ascii="Geometr706 Md TL" w:hAnsi="Geometr706 Md TL"/>
          <w:sz w:val="20"/>
          <w:szCs w:val="20"/>
        </w:rPr>
      </w:pPr>
      <w:r w:rsidRPr="00256E7F">
        <w:rPr>
          <w:rFonts w:ascii="Geometr706 Md TL" w:hAnsi="Geometr706 Md TL"/>
          <w:sz w:val="20"/>
          <w:szCs w:val="20"/>
        </w:rPr>
        <w:t>9)</w:t>
      </w:r>
      <w:r w:rsidRPr="00256E7F">
        <w:rPr>
          <w:rFonts w:ascii="Geometr706 Md TL" w:eastAsia="Calibri" w:hAnsi="Geometr706 Md TL"/>
          <w:sz w:val="20"/>
          <w:szCs w:val="20"/>
        </w:rPr>
        <w:t> parāda ārpustiesas atgūšanas pakalpojumu sniedzēju licencēšana</w:t>
      </w:r>
      <w:r w:rsidRPr="00256E7F">
        <w:rPr>
          <w:rFonts w:ascii="Geometr706 Md TL" w:hAnsi="Geometr706 Md TL"/>
          <w:sz w:val="20"/>
          <w:szCs w:val="20"/>
        </w:rPr>
        <w:t>.</w:t>
      </w:r>
    </w:p>
    <w:p w:rsidR="00256E7F" w:rsidRPr="00256E7F" w:rsidRDefault="00256E7F" w:rsidP="00256E7F">
      <w:pPr>
        <w:rPr>
          <w:rFonts w:ascii="Geometr706 Md TL" w:hAnsi="Geometr706 Md TL"/>
          <w:sz w:val="23"/>
          <w:szCs w:val="23"/>
        </w:rPr>
      </w:pPr>
      <w:r w:rsidRPr="00256E7F">
        <w:rPr>
          <w:rFonts w:ascii="Geometr706 Md TL" w:hAnsi="Geometr706 Md TL"/>
          <w:sz w:val="23"/>
          <w:szCs w:val="23"/>
        </w:rPr>
        <w:br w:type="page"/>
      </w:r>
    </w:p>
    <w:p w:rsidR="00256E7F" w:rsidRPr="00256E7F" w:rsidRDefault="00256E7F" w:rsidP="00256E7F">
      <w:pPr>
        <w:pStyle w:val="Heading2"/>
        <w:jc w:val="center"/>
        <w:rPr>
          <w:rFonts w:ascii="Geometr706 Md TL" w:hAnsi="Geometr706 Md TL" w:cs="Times New Roman"/>
          <w:noProof/>
          <w:color w:val="auto"/>
          <w:sz w:val="28"/>
          <w:szCs w:val="28"/>
        </w:rPr>
      </w:pPr>
      <w:bookmarkStart w:id="17" w:name="_Toc380143869"/>
      <w:bookmarkStart w:id="18" w:name="_Toc380147109"/>
      <w:bookmarkStart w:id="19" w:name="_Toc392836094"/>
      <w:r w:rsidRPr="00256E7F">
        <w:rPr>
          <w:rFonts w:ascii="Geometr706 Md TL" w:hAnsi="Geometr706 Md TL" w:cs="Times New Roman"/>
          <w:noProof/>
          <w:color w:val="auto"/>
          <w:sz w:val="28"/>
          <w:szCs w:val="28"/>
        </w:rPr>
        <w:lastRenderedPageBreak/>
        <w:t>1.3. Galvenās pārskata gada prioritātes</w:t>
      </w:r>
      <w:bookmarkEnd w:id="17"/>
      <w:bookmarkEnd w:id="18"/>
      <w:bookmarkEnd w:id="19"/>
    </w:p>
    <w:p w:rsidR="00256E7F" w:rsidRPr="00256E7F" w:rsidRDefault="00256E7F" w:rsidP="00256E7F">
      <w:pPr>
        <w:ind w:right="41" w:firstLine="720"/>
        <w:rPr>
          <w:rFonts w:ascii="Geometr706 Md TL" w:hAnsi="Geometr706 Md TL"/>
          <w:sz w:val="20"/>
          <w:szCs w:val="20"/>
        </w:rPr>
      </w:pPr>
    </w:p>
    <w:p w:rsidR="00256E7F" w:rsidRPr="00256E7F" w:rsidRDefault="00256E7F" w:rsidP="00256E7F">
      <w:pPr>
        <w:spacing w:line="240" w:lineRule="auto"/>
        <w:ind w:right="40" w:firstLine="720"/>
        <w:rPr>
          <w:rFonts w:ascii="Geometr706 Md TL" w:hAnsi="Geometr706 Md TL"/>
          <w:sz w:val="20"/>
          <w:szCs w:val="20"/>
        </w:rPr>
      </w:pPr>
      <w:r w:rsidRPr="00256E7F">
        <w:rPr>
          <w:rFonts w:ascii="Geometr706 Md TL" w:hAnsi="Geometr706 Md TL"/>
          <w:sz w:val="20"/>
          <w:szCs w:val="20"/>
        </w:rPr>
        <w:t>PTAC izvirzītās darbības prioritātes 2013. gadam:</w:t>
      </w:r>
    </w:p>
    <w:p w:rsidR="00256E7F" w:rsidRPr="00256E7F" w:rsidRDefault="00256E7F" w:rsidP="00256E7F">
      <w:pPr>
        <w:pStyle w:val="Default"/>
        <w:ind w:right="40"/>
        <w:rPr>
          <w:rFonts w:ascii="Geometr706 Md TL" w:hAnsi="Geometr706 Md TL"/>
          <w:b/>
          <w:bCs/>
          <w:sz w:val="20"/>
          <w:szCs w:val="20"/>
        </w:rPr>
      </w:pPr>
    </w:p>
    <w:p w:rsidR="00256E7F" w:rsidRPr="00256E7F" w:rsidRDefault="00256E7F" w:rsidP="00256E7F">
      <w:pPr>
        <w:pStyle w:val="Default"/>
        <w:ind w:right="40"/>
        <w:rPr>
          <w:rFonts w:ascii="Geometr706 Md TL" w:hAnsi="Geometr706 Md TL"/>
          <w:sz w:val="20"/>
          <w:szCs w:val="20"/>
        </w:rPr>
      </w:pPr>
      <w:r w:rsidRPr="00256E7F">
        <w:rPr>
          <w:rFonts w:ascii="Geometr706 Md TL" w:hAnsi="Geometr706 Md TL"/>
          <w:b/>
          <w:bCs/>
          <w:sz w:val="20"/>
          <w:szCs w:val="20"/>
        </w:rPr>
        <w:t>Tirgus uzraudzībā</w:t>
      </w:r>
      <w:r w:rsidRPr="00256E7F">
        <w:rPr>
          <w:rFonts w:ascii="Geometr706 Md TL" w:hAnsi="Geometr706 Md TL"/>
          <w:sz w:val="20"/>
          <w:szCs w:val="20"/>
        </w:rPr>
        <w:t>:</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rotaļlietu un bērnu preču drošums;</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vispārējā pakalpojumu (slēpošanas trases, bērnu spēļu laukumi u. c.) drošuma uzraudzība atbilstoši noteiktajām prasībām;</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vispārējā preču (bērnu gultiņas, punktu lāzeri u. c.) drošuma uzraudzība atbilstoši noteiktajām prasībām;</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elektropreču drošums un atbilstība noteiktajām prasībām;</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būvizstrādājumu drošums un atbilstība noteiktajām prasībām;</w:t>
      </w:r>
    </w:p>
    <w:p w:rsidR="00256E7F" w:rsidRPr="00256E7F" w:rsidRDefault="00256E7F" w:rsidP="00256E7F">
      <w:pPr>
        <w:pStyle w:val="Default"/>
        <w:numPr>
          <w:ilvl w:val="0"/>
          <w:numId w:val="1"/>
        </w:numPr>
        <w:ind w:right="40"/>
        <w:jc w:val="both"/>
        <w:rPr>
          <w:rFonts w:ascii="Geometr706 Md TL" w:hAnsi="Geometr706 Md TL"/>
          <w:sz w:val="20"/>
          <w:szCs w:val="20"/>
        </w:rPr>
      </w:pPr>
      <w:proofErr w:type="spellStart"/>
      <w:r w:rsidRPr="00256E7F">
        <w:rPr>
          <w:rFonts w:ascii="Geometr706 Md TL" w:hAnsi="Geometr706 Md TL"/>
          <w:sz w:val="20"/>
          <w:szCs w:val="20"/>
        </w:rPr>
        <w:t>mašīniekārtu</w:t>
      </w:r>
      <w:proofErr w:type="spellEnd"/>
      <w:r w:rsidRPr="00256E7F">
        <w:rPr>
          <w:rFonts w:ascii="Geometr706 Md TL" w:hAnsi="Geometr706 Md TL"/>
          <w:sz w:val="20"/>
          <w:szCs w:val="20"/>
        </w:rPr>
        <w:t xml:space="preserve"> uzraudzība un atbilstība noteiktajām prasībām;</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spiedieniekārtu drošums un atbilstība noteiktajām prasībām;</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IAL drošums un atbilstība noteiktajām prasībām;</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bīstamo iekārtu uzraudzība to lietošanas vietās;</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mērīšanas līdzekļu uzraudzība to lietošanas vietās;</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fasēto preču kontrole ražošanas uzņēmumos;</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cenu norādīšanas uzraudzība valūtas dubultās norādīšanas periodā.</w:t>
      </w:r>
    </w:p>
    <w:p w:rsidR="00256E7F" w:rsidRPr="00256E7F" w:rsidRDefault="00256E7F" w:rsidP="00256E7F">
      <w:pPr>
        <w:pStyle w:val="Default"/>
        <w:ind w:right="40"/>
        <w:jc w:val="both"/>
        <w:rPr>
          <w:rFonts w:ascii="Geometr706 Md TL" w:hAnsi="Geometr706 Md TL"/>
          <w:sz w:val="20"/>
          <w:szCs w:val="20"/>
        </w:rPr>
      </w:pPr>
    </w:p>
    <w:p w:rsidR="00256E7F" w:rsidRPr="00256E7F" w:rsidRDefault="00256E7F" w:rsidP="00256E7F">
      <w:pPr>
        <w:pStyle w:val="Default"/>
        <w:ind w:right="40"/>
        <w:jc w:val="both"/>
        <w:rPr>
          <w:rFonts w:ascii="Geometr706 Md TL" w:hAnsi="Geometr706 Md TL"/>
          <w:sz w:val="20"/>
          <w:szCs w:val="20"/>
        </w:rPr>
      </w:pPr>
      <w:r w:rsidRPr="00256E7F">
        <w:rPr>
          <w:rFonts w:ascii="Geometr706 Md TL" w:hAnsi="Geometr706 Md TL"/>
          <w:b/>
          <w:bCs/>
          <w:sz w:val="20"/>
          <w:szCs w:val="20"/>
        </w:rPr>
        <w:t>Patērētāju kolektīvo tiesību uzraudzībā:</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patērētāju kreditēšanas līgumu uzraudzība;</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elektronisko sakaru pakalpojumu komercprakses un līgumu uzraudzība un reklāmu izvērtēšana;</w:t>
      </w:r>
    </w:p>
    <w:p w:rsidR="00256E7F" w:rsidRPr="00256E7F" w:rsidRDefault="00256E7F" w:rsidP="00256E7F">
      <w:pPr>
        <w:pStyle w:val="Default"/>
        <w:numPr>
          <w:ilvl w:val="0"/>
          <w:numId w:val="1"/>
        </w:numPr>
        <w:spacing w:line="276" w:lineRule="auto"/>
        <w:ind w:right="41"/>
        <w:jc w:val="both"/>
        <w:rPr>
          <w:rFonts w:ascii="Geometr706 Md TL" w:hAnsi="Geometr706 Md TL"/>
          <w:sz w:val="20"/>
          <w:szCs w:val="20"/>
        </w:rPr>
      </w:pPr>
      <w:r w:rsidRPr="00256E7F">
        <w:rPr>
          <w:rFonts w:ascii="Geometr706 Md TL" w:hAnsi="Geometr706 Md TL"/>
          <w:sz w:val="20"/>
          <w:szCs w:val="20"/>
        </w:rPr>
        <w:t>automašīnu nomas pakalpojumu sniegšanas komercprakses uzraudzība;</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komplekso tūrisma pakalpojumu sniedzēju patērētājiem sniegto drošības garantiju uzraudzība;</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kredītu devēju, kas neatbilst kredītiestādes statusam, licencēšana un uzraudzība;</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parāda ārpustiesas atgūšanas pakalpojumu sniedzēju licencēšana;</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reklāmu, kurās tiek izmantoti vides paziņojumi, uzraudzība;</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distances līgumu slēgšanas noteikumu ievērošanas uzraudzība;</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komercprakses un līgumu slēgšanas uzraudzība kolektīvās iepirkšanās tiešsaistes jomā;</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komercprakses un līgumu slēgšanas uzraudzība cenu salīdzināšanas mājaslapās;</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komercprakses ēterisko eļļu jomā uzraudzība;</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pētījums par patērētāju tiesību ievērošanu maksājumu pakalpojumu jomā;</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komercprakses un līgumu slēgšanas uzraudzība atkritumu apsaimniekošanas un autoskolu pakalpojumu jomā.</w:t>
      </w:r>
    </w:p>
    <w:p w:rsidR="00256E7F" w:rsidRPr="00256E7F" w:rsidRDefault="00256E7F" w:rsidP="00256E7F">
      <w:pPr>
        <w:pStyle w:val="Default"/>
        <w:ind w:right="40"/>
        <w:jc w:val="both"/>
        <w:rPr>
          <w:rFonts w:ascii="Geometr706 Md TL" w:hAnsi="Geometr706 Md TL"/>
          <w:b/>
          <w:bCs/>
          <w:sz w:val="20"/>
          <w:szCs w:val="20"/>
        </w:rPr>
      </w:pPr>
    </w:p>
    <w:p w:rsidR="00256E7F" w:rsidRPr="00256E7F" w:rsidRDefault="00256E7F" w:rsidP="00256E7F">
      <w:pPr>
        <w:pStyle w:val="Default"/>
        <w:ind w:right="40"/>
        <w:jc w:val="both"/>
        <w:rPr>
          <w:rFonts w:ascii="Geometr706 Md TL" w:hAnsi="Geometr706 Md TL"/>
          <w:sz w:val="20"/>
          <w:szCs w:val="20"/>
        </w:rPr>
      </w:pPr>
      <w:r w:rsidRPr="00256E7F">
        <w:rPr>
          <w:rFonts w:ascii="Geometr706 Md TL" w:hAnsi="Geometr706 Md TL"/>
          <w:b/>
          <w:bCs/>
          <w:sz w:val="20"/>
          <w:szCs w:val="20"/>
        </w:rPr>
        <w:t>Iestādes darba uzlabošanā:</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kvalitātes vadības sistēmas uzturēšana un pilnveidošana, īpaši tirgus uzraudzības un patērētāju kolektīvo interešu aizsardzības jomā;</w:t>
      </w:r>
    </w:p>
    <w:p w:rsid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patērētāju apkalpošanas kvalitātes uzlabošana, nodrošinot atbildes saņemšanu ātrākā un ērtākā veidā – telefoniski, ar e-pasta starpniecību.</w:t>
      </w:r>
    </w:p>
    <w:p w:rsidR="003179A2" w:rsidRPr="003179A2" w:rsidRDefault="003179A2" w:rsidP="003179A2">
      <w:pPr>
        <w:pStyle w:val="Default"/>
        <w:ind w:left="360" w:right="40"/>
        <w:jc w:val="both"/>
        <w:rPr>
          <w:rFonts w:ascii="Geometr706 Md TL" w:hAnsi="Geometr706 Md TL"/>
          <w:sz w:val="20"/>
          <w:szCs w:val="20"/>
        </w:rPr>
      </w:pPr>
    </w:p>
    <w:p w:rsidR="00256E7F" w:rsidRPr="00256E7F" w:rsidRDefault="00256E7F" w:rsidP="00256E7F">
      <w:pPr>
        <w:pStyle w:val="Default"/>
        <w:ind w:right="40"/>
        <w:jc w:val="both"/>
        <w:rPr>
          <w:rFonts w:ascii="Geometr706 Md TL" w:hAnsi="Geometr706 Md TL"/>
          <w:sz w:val="20"/>
          <w:szCs w:val="20"/>
        </w:rPr>
      </w:pPr>
      <w:r w:rsidRPr="00256E7F">
        <w:rPr>
          <w:rFonts w:ascii="Geometr706 Md TL" w:hAnsi="Geometr706 Md TL"/>
          <w:b/>
          <w:bCs/>
          <w:sz w:val="20"/>
          <w:szCs w:val="20"/>
        </w:rPr>
        <w:t>Sabiedrības informēšanā:</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regulāra sabiedrības informēšanas pasākumu organizēšana, veicinot patērētāju informētību un dodot patērētājiem iespēju izdarīt uz informāciju balstītu izvēli, tādējādi uzlabojot patērētāju tiesību ievērošanu;</w:t>
      </w:r>
    </w:p>
    <w:p w:rsidR="00256E7F" w:rsidRPr="00256E7F" w:rsidRDefault="00256E7F" w:rsidP="00256E7F">
      <w:pPr>
        <w:pStyle w:val="Default"/>
        <w:numPr>
          <w:ilvl w:val="0"/>
          <w:numId w:val="1"/>
        </w:numPr>
        <w:ind w:right="40"/>
        <w:jc w:val="both"/>
        <w:rPr>
          <w:rFonts w:ascii="Geometr706 Md TL" w:hAnsi="Geometr706 Md TL"/>
          <w:sz w:val="20"/>
          <w:szCs w:val="20"/>
        </w:rPr>
      </w:pPr>
      <w:r w:rsidRPr="00256E7F">
        <w:rPr>
          <w:rFonts w:ascii="Geometr706 Md TL" w:hAnsi="Geometr706 Md TL"/>
          <w:sz w:val="20"/>
          <w:szCs w:val="20"/>
        </w:rPr>
        <w:t>mājaslapas uzlabošana un aktualizēšana, lai tā būtu aizvien noderīgāks, izsmeļošāks informācijas iegūšanas resurss gan patērētājiem, gan uzņēmējiem.</w:t>
      </w:r>
    </w:p>
    <w:p w:rsidR="00256E7F" w:rsidRPr="00256E7F" w:rsidRDefault="00256E7F" w:rsidP="00256E7F">
      <w:pPr>
        <w:pStyle w:val="Default"/>
        <w:spacing w:line="276" w:lineRule="auto"/>
        <w:ind w:right="41"/>
        <w:jc w:val="both"/>
        <w:rPr>
          <w:rFonts w:ascii="Geometr706 Md TL" w:hAnsi="Geometr706 Md TL"/>
          <w:sz w:val="23"/>
          <w:szCs w:val="23"/>
        </w:rPr>
      </w:pPr>
    </w:p>
    <w:p w:rsidR="00256E7F" w:rsidRPr="00256E7F" w:rsidRDefault="00256E7F" w:rsidP="00256E7F">
      <w:pPr>
        <w:pStyle w:val="Heading1"/>
        <w:rPr>
          <w:rFonts w:ascii="Geometr706 Md TL" w:hAnsi="Geometr706 Md TL"/>
          <w:noProof/>
          <w:sz w:val="32"/>
          <w:szCs w:val="32"/>
        </w:rPr>
      </w:pPr>
      <w:bookmarkStart w:id="20" w:name="_2._Finanšu_resursi"/>
      <w:bookmarkStart w:id="21" w:name="_Toc380143870"/>
      <w:bookmarkStart w:id="22" w:name="_Toc380147110"/>
      <w:bookmarkStart w:id="23" w:name="_Toc392836095"/>
      <w:bookmarkEnd w:id="20"/>
      <w:r w:rsidRPr="00256E7F">
        <w:rPr>
          <w:rFonts w:ascii="Geometr706 Md TL" w:hAnsi="Geometr706 Md TL"/>
          <w:noProof/>
          <w:sz w:val="32"/>
          <w:szCs w:val="32"/>
        </w:rPr>
        <w:lastRenderedPageBreak/>
        <w:t>2. Finanšu resursi un iestādes darbības rezultāti</w:t>
      </w:r>
      <w:bookmarkEnd w:id="21"/>
      <w:bookmarkEnd w:id="22"/>
      <w:bookmarkEnd w:id="23"/>
    </w:p>
    <w:p w:rsidR="00256E7F" w:rsidRPr="00256E7F" w:rsidRDefault="00256E7F" w:rsidP="00256E7F">
      <w:pPr>
        <w:pStyle w:val="Heading2"/>
        <w:spacing w:after="240"/>
        <w:jc w:val="center"/>
        <w:rPr>
          <w:rFonts w:ascii="Geometr706 Md TL" w:hAnsi="Geometr706 Md TL" w:cs="Times New Roman"/>
          <w:noProof/>
          <w:color w:val="auto"/>
          <w:sz w:val="28"/>
          <w:szCs w:val="28"/>
          <w:lang w:eastAsia="en-US"/>
        </w:rPr>
      </w:pPr>
      <w:bookmarkStart w:id="24" w:name="_2.1._Valsts_budžeta"/>
      <w:bookmarkStart w:id="25" w:name="_Toc380143871"/>
      <w:bookmarkStart w:id="26" w:name="_Toc380147111"/>
      <w:bookmarkStart w:id="27" w:name="_Toc392836096"/>
      <w:bookmarkEnd w:id="24"/>
      <w:r w:rsidRPr="00256E7F">
        <w:rPr>
          <w:rFonts w:ascii="Geometr706 Md TL" w:hAnsi="Geometr706 Md TL" w:cs="Times New Roman"/>
          <w:noProof/>
          <w:color w:val="auto"/>
          <w:sz w:val="28"/>
          <w:szCs w:val="28"/>
          <w:lang w:eastAsia="en-US"/>
        </w:rPr>
        <w:t>2.1. Valsts budžeta finansējums un izlietojums</w:t>
      </w:r>
      <w:bookmarkEnd w:id="25"/>
      <w:bookmarkEnd w:id="26"/>
      <w:bookmarkEnd w:id="27"/>
    </w:p>
    <w:p w:rsidR="00256E7F" w:rsidRPr="00256E7F" w:rsidRDefault="00256E7F" w:rsidP="00FB7347">
      <w:pPr>
        <w:spacing w:line="240" w:lineRule="auto"/>
        <w:ind w:firstLine="360"/>
        <w:jc w:val="both"/>
        <w:rPr>
          <w:rFonts w:ascii="Geometr706 Md TL" w:hAnsi="Geometr706 Md TL"/>
          <w:sz w:val="20"/>
          <w:szCs w:val="20"/>
        </w:rPr>
      </w:pPr>
      <w:r w:rsidRPr="00256E7F">
        <w:rPr>
          <w:rFonts w:ascii="Geometr706 Md TL" w:hAnsi="Geometr706 Md TL"/>
          <w:sz w:val="20"/>
          <w:szCs w:val="20"/>
        </w:rPr>
        <w:t>Plānoto PTAC funkciju izpildei tika saņemts finansējums – 1 429 701 lats, t. sk. faktiskā vispārējo ieņēmumu dotāciju izpilde – 1 401 686 lati, galvenās partneru grupas īstenoto ES politikas instrumentu projektu ieņēmumi – 24 503 lati, ārvalsts finanšu palīdzība – 3 512 latu.</w:t>
      </w:r>
    </w:p>
    <w:p w:rsidR="00256E7F" w:rsidRPr="00256E7F" w:rsidRDefault="00256E7F" w:rsidP="00FB7347">
      <w:pPr>
        <w:spacing w:line="240" w:lineRule="auto"/>
        <w:ind w:firstLine="360"/>
        <w:jc w:val="both"/>
        <w:rPr>
          <w:rFonts w:ascii="Geometr706 Md TL" w:hAnsi="Geometr706 Md TL"/>
          <w:sz w:val="20"/>
          <w:szCs w:val="20"/>
        </w:rPr>
      </w:pPr>
      <w:r w:rsidRPr="00256E7F">
        <w:rPr>
          <w:rFonts w:ascii="Geometr706 Md TL" w:hAnsi="Geometr706 Md TL"/>
          <w:sz w:val="20"/>
          <w:szCs w:val="20"/>
        </w:rPr>
        <w:t>Pa budžeta programmām:</w:t>
      </w:r>
    </w:p>
    <w:p w:rsidR="00256E7F" w:rsidRPr="00256E7F" w:rsidRDefault="00256E7F" w:rsidP="00FB7347">
      <w:pPr>
        <w:pStyle w:val="ListParagraph"/>
        <w:widowControl/>
        <w:numPr>
          <w:ilvl w:val="0"/>
          <w:numId w:val="2"/>
        </w:numPr>
        <w:adjustRightInd/>
        <w:spacing w:line="240" w:lineRule="auto"/>
        <w:textAlignment w:val="auto"/>
        <w:rPr>
          <w:rFonts w:ascii="Geometr706 Md TL" w:hAnsi="Geometr706 Md TL"/>
          <w:sz w:val="20"/>
          <w:szCs w:val="20"/>
        </w:rPr>
      </w:pPr>
      <w:r w:rsidRPr="00256E7F">
        <w:rPr>
          <w:rFonts w:ascii="Geometr706 Md TL" w:hAnsi="Geometr706 Md TL"/>
          <w:sz w:val="20"/>
          <w:szCs w:val="20"/>
        </w:rPr>
        <w:t>godīgas konkurences nodrošināšana, iekšējā tirgus un patērētāju tiesību aizsardzība – 1 326 880 latu;</w:t>
      </w:r>
    </w:p>
    <w:p w:rsidR="00256E7F" w:rsidRPr="00256E7F" w:rsidRDefault="00256E7F" w:rsidP="00FB7347">
      <w:pPr>
        <w:pStyle w:val="ListParagraph"/>
        <w:widowControl/>
        <w:numPr>
          <w:ilvl w:val="0"/>
          <w:numId w:val="2"/>
        </w:numPr>
        <w:adjustRightInd/>
        <w:spacing w:line="240" w:lineRule="auto"/>
        <w:textAlignment w:val="auto"/>
        <w:rPr>
          <w:rFonts w:ascii="Geometr706 Md TL" w:hAnsi="Geometr706 Md TL"/>
          <w:sz w:val="20"/>
          <w:szCs w:val="20"/>
        </w:rPr>
      </w:pPr>
      <w:r w:rsidRPr="00256E7F">
        <w:rPr>
          <w:rFonts w:ascii="Geometr706 Md TL" w:hAnsi="Geometr706 Md TL"/>
          <w:sz w:val="20"/>
          <w:szCs w:val="20"/>
        </w:rPr>
        <w:t>Eiropas kopienas iniciatīvas projektu un pasākumu īstenošana – 99 379 lati;</w:t>
      </w:r>
    </w:p>
    <w:p w:rsidR="00256E7F" w:rsidRPr="00256E7F" w:rsidRDefault="00256E7F" w:rsidP="00FB7347">
      <w:pPr>
        <w:pStyle w:val="ListParagraph"/>
        <w:widowControl/>
        <w:numPr>
          <w:ilvl w:val="0"/>
          <w:numId w:val="2"/>
        </w:numPr>
        <w:adjustRightInd/>
        <w:spacing w:line="240" w:lineRule="auto"/>
        <w:textAlignment w:val="auto"/>
        <w:rPr>
          <w:rFonts w:ascii="Geometr706 Md TL" w:hAnsi="Geometr706 Md TL"/>
          <w:sz w:val="20"/>
          <w:szCs w:val="20"/>
        </w:rPr>
      </w:pPr>
      <w:r w:rsidRPr="00256E7F">
        <w:rPr>
          <w:rFonts w:ascii="Geometr706 Md TL" w:hAnsi="Geometr706 Md TL"/>
          <w:sz w:val="20"/>
          <w:szCs w:val="20"/>
        </w:rPr>
        <w:t>līdzekļi neparedzētiem gadījumiem – 3442 lati.</w:t>
      </w:r>
    </w:p>
    <w:p w:rsidR="003179A2" w:rsidRDefault="003179A2" w:rsidP="00256E7F">
      <w:pPr>
        <w:pStyle w:val="ListParagraph"/>
        <w:widowControl/>
        <w:adjustRightInd/>
        <w:spacing w:line="276" w:lineRule="auto"/>
        <w:jc w:val="center"/>
        <w:textAlignment w:val="auto"/>
        <w:rPr>
          <w:rFonts w:ascii="Geometr706 Md TL" w:hAnsi="Geometr706 Md TL"/>
          <w:b/>
          <w:sz w:val="20"/>
          <w:szCs w:val="20"/>
        </w:rPr>
      </w:pPr>
    </w:p>
    <w:p w:rsidR="00256E7F" w:rsidRPr="00256E7F" w:rsidRDefault="00256E7F" w:rsidP="00256E7F">
      <w:pPr>
        <w:pStyle w:val="ListParagraph"/>
        <w:widowControl/>
        <w:adjustRightInd/>
        <w:spacing w:line="276" w:lineRule="auto"/>
        <w:jc w:val="center"/>
        <w:textAlignment w:val="auto"/>
        <w:rPr>
          <w:rFonts w:ascii="Geometr706 Md TL" w:hAnsi="Geometr706 Md TL"/>
          <w:b/>
        </w:rPr>
      </w:pPr>
      <w:r w:rsidRPr="00256E7F">
        <w:rPr>
          <w:rFonts w:ascii="Geometr706 Md TL" w:hAnsi="Geometr706 Md TL"/>
          <w:b/>
          <w:sz w:val="20"/>
          <w:szCs w:val="20"/>
        </w:rPr>
        <w:t>Kopējais budžeta līdzekļu izlietojums un budžeta izpilde</w:t>
      </w:r>
    </w:p>
    <w:p w:rsidR="00256E7F" w:rsidRPr="00256E7F" w:rsidRDefault="00256E7F" w:rsidP="00256E7F">
      <w:pPr>
        <w:pStyle w:val="ListParagraph"/>
        <w:widowControl/>
        <w:adjustRightInd/>
        <w:spacing w:line="276" w:lineRule="auto"/>
        <w:textAlignment w:val="auto"/>
        <w:rPr>
          <w:rFonts w:ascii="Geometr706 Md TL" w:hAnsi="Geometr706 Md TL"/>
          <w:b/>
          <w:color w:val="FF0000"/>
        </w:rPr>
      </w:pPr>
    </w:p>
    <w:tbl>
      <w:tblPr>
        <w:tblStyle w:val="LightGrid-Accent1"/>
        <w:tblpPr w:leftFromText="180" w:rightFromText="180" w:vertAnchor="page" w:horzAnchor="margin" w:tblpX="534" w:tblpY="6349"/>
        <w:tblW w:w="8088" w:type="dxa"/>
        <w:tblLayout w:type="fixed"/>
        <w:tblLook w:val="04A0" w:firstRow="1" w:lastRow="0" w:firstColumn="1" w:lastColumn="0" w:noHBand="0" w:noVBand="1"/>
      </w:tblPr>
      <w:tblGrid>
        <w:gridCol w:w="854"/>
        <w:gridCol w:w="3365"/>
        <w:gridCol w:w="1308"/>
        <w:gridCol w:w="1102"/>
        <w:gridCol w:w="1459"/>
      </w:tblGrid>
      <w:tr w:rsidR="003179A2" w:rsidRPr="00256E7F" w:rsidTr="003179A2">
        <w:trPr>
          <w:cnfStyle w:val="100000000000" w:firstRow="1" w:lastRow="0" w:firstColumn="0" w:lastColumn="0" w:oddVBand="0" w:evenVBand="0" w:oddHBand="0" w:evenHBand="0" w:firstRowFirstColumn="0" w:firstRowLastColumn="0" w:lastRowFirstColumn="0" w:lastRowLastColumn="0"/>
          <w:trHeight w:val="6"/>
        </w:trPr>
        <w:tc>
          <w:tcPr>
            <w:cnfStyle w:val="001000000000" w:firstRow="0" w:lastRow="0" w:firstColumn="1" w:lastColumn="0" w:oddVBand="0" w:evenVBand="0" w:oddHBand="0" w:evenHBand="0" w:firstRowFirstColumn="0" w:firstRowLastColumn="0" w:lastRowFirstColumn="0" w:lastRowLastColumn="0"/>
            <w:tcW w:w="854" w:type="dxa"/>
            <w:vMerge w:val="restart"/>
            <w:shd w:val="clear" w:color="auto" w:fill="C6D9F1" w:themeFill="text2" w:themeFillTint="33"/>
            <w:vAlign w:val="center"/>
          </w:tcPr>
          <w:p w:rsidR="003179A2" w:rsidRPr="00256E7F" w:rsidRDefault="003179A2" w:rsidP="003179A2">
            <w:pPr>
              <w:spacing w:before="240" w:line="360" w:lineRule="auto"/>
              <w:jc w:val="center"/>
              <w:rPr>
                <w:rFonts w:ascii="Geometr706 Md TL" w:hAnsi="Geometr706 Md TL"/>
                <w:sz w:val="16"/>
                <w:szCs w:val="16"/>
              </w:rPr>
            </w:pPr>
            <w:proofErr w:type="spellStart"/>
            <w:r w:rsidRPr="00256E7F">
              <w:rPr>
                <w:rFonts w:ascii="Geometr706 Md TL" w:hAnsi="Geometr706 Md TL"/>
                <w:sz w:val="16"/>
                <w:szCs w:val="16"/>
              </w:rPr>
              <w:t>Nr</w:t>
            </w:r>
            <w:proofErr w:type="spellEnd"/>
            <w:r w:rsidRPr="00256E7F">
              <w:rPr>
                <w:rFonts w:ascii="Geometr706 Md TL" w:hAnsi="Geometr706 Md TL"/>
                <w:sz w:val="16"/>
                <w:szCs w:val="16"/>
              </w:rPr>
              <w:t>. p. k.</w:t>
            </w:r>
          </w:p>
        </w:tc>
        <w:tc>
          <w:tcPr>
            <w:tcW w:w="3365" w:type="dxa"/>
            <w:vMerge w:val="restart"/>
            <w:shd w:val="clear" w:color="auto" w:fill="C6D9F1" w:themeFill="text2" w:themeFillTint="33"/>
            <w:vAlign w:val="center"/>
          </w:tcPr>
          <w:p w:rsidR="003179A2" w:rsidRPr="00256E7F" w:rsidRDefault="003179A2" w:rsidP="003179A2">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Finansiālie rādītāji</w:t>
            </w:r>
          </w:p>
        </w:tc>
        <w:tc>
          <w:tcPr>
            <w:tcW w:w="1308" w:type="dxa"/>
            <w:vMerge w:val="restart"/>
            <w:shd w:val="clear" w:color="auto" w:fill="C6D9F1" w:themeFill="text2" w:themeFillTint="33"/>
            <w:vAlign w:val="center"/>
          </w:tcPr>
          <w:p w:rsidR="003179A2" w:rsidRPr="00256E7F" w:rsidRDefault="003179A2" w:rsidP="003179A2">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2012. gadā</w:t>
            </w:r>
          </w:p>
          <w:p w:rsidR="003179A2" w:rsidRPr="00256E7F" w:rsidRDefault="003179A2" w:rsidP="003179A2">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(faktiskā izpilde)</w:t>
            </w:r>
          </w:p>
        </w:tc>
        <w:tc>
          <w:tcPr>
            <w:tcW w:w="2561" w:type="dxa"/>
            <w:gridSpan w:val="2"/>
            <w:shd w:val="clear" w:color="auto" w:fill="DBE5F1" w:themeFill="accent1" w:themeFillTint="33"/>
            <w:vAlign w:val="center"/>
          </w:tcPr>
          <w:p w:rsidR="003179A2" w:rsidRPr="00256E7F" w:rsidRDefault="003179A2" w:rsidP="003179A2">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2013. gadā</w:t>
            </w:r>
          </w:p>
        </w:tc>
      </w:tr>
      <w:tr w:rsidR="003179A2" w:rsidRPr="00256E7F" w:rsidTr="003179A2">
        <w:trPr>
          <w:cnfStyle w:val="000000100000" w:firstRow="0" w:lastRow="0" w:firstColumn="0" w:lastColumn="0" w:oddVBand="0" w:evenVBand="0" w:oddHBand="1" w:evenHBand="0" w:firstRowFirstColumn="0" w:firstRowLastColumn="0" w:lastRowFirstColumn="0" w:lastRowLastColumn="0"/>
          <w:trHeight w:val="9"/>
        </w:trPr>
        <w:tc>
          <w:tcPr>
            <w:cnfStyle w:val="001000000000" w:firstRow="0" w:lastRow="0" w:firstColumn="1" w:lastColumn="0" w:oddVBand="0" w:evenVBand="0" w:oddHBand="0" w:evenHBand="0" w:firstRowFirstColumn="0" w:firstRowLastColumn="0" w:lastRowFirstColumn="0" w:lastRowLastColumn="0"/>
            <w:tcW w:w="854" w:type="dxa"/>
            <w:vMerge/>
            <w:shd w:val="clear" w:color="auto" w:fill="C6D9F1" w:themeFill="text2" w:themeFillTint="33"/>
            <w:vAlign w:val="center"/>
          </w:tcPr>
          <w:p w:rsidR="003179A2" w:rsidRPr="00256E7F" w:rsidRDefault="003179A2" w:rsidP="003179A2">
            <w:pPr>
              <w:spacing w:before="240" w:line="360" w:lineRule="auto"/>
              <w:jc w:val="center"/>
              <w:rPr>
                <w:rFonts w:ascii="Geometr706 Md TL" w:hAnsi="Geometr706 Md TL"/>
                <w:sz w:val="16"/>
                <w:szCs w:val="16"/>
              </w:rPr>
            </w:pPr>
          </w:p>
        </w:tc>
        <w:tc>
          <w:tcPr>
            <w:tcW w:w="3365" w:type="dxa"/>
            <w:vMerge/>
            <w:shd w:val="clear" w:color="auto" w:fill="C6D9F1" w:themeFill="text2" w:themeFillTint="33"/>
            <w:vAlign w:val="center"/>
          </w:tcPr>
          <w:p w:rsidR="003179A2" w:rsidRPr="00256E7F" w:rsidRDefault="003179A2" w:rsidP="003179A2">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b/>
                <w:sz w:val="16"/>
                <w:szCs w:val="16"/>
              </w:rPr>
            </w:pPr>
          </w:p>
        </w:tc>
        <w:tc>
          <w:tcPr>
            <w:tcW w:w="1308" w:type="dxa"/>
            <w:vMerge/>
            <w:shd w:val="clear" w:color="auto" w:fill="C6D9F1" w:themeFill="text2" w:themeFillTint="33"/>
            <w:vAlign w:val="center"/>
          </w:tcPr>
          <w:p w:rsidR="003179A2" w:rsidRPr="00256E7F" w:rsidRDefault="003179A2" w:rsidP="003179A2">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b/>
                <w:sz w:val="16"/>
                <w:szCs w:val="16"/>
              </w:rPr>
            </w:pPr>
          </w:p>
        </w:tc>
        <w:tc>
          <w:tcPr>
            <w:tcW w:w="1102" w:type="dxa"/>
            <w:shd w:val="clear" w:color="auto" w:fill="C6D9F1" w:themeFill="text2" w:themeFillTint="33"/>
            <w:vAlign w:val="center"/>
          </w:tcPr>
          <w:p w:rsidR="003179A2" w:rsidRPr="00256E7F" w:rsidRDefault="003179A2" w:rsidP="003179A2">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b/>
                <w:sz w:val="16"/>
                <w:szCs w:val="16"/>
              </w:rPr>
            </w:pPr>
            <w:r w:rsidRPr="00256E7F">
              <w:rPr>
                <w:rFonts w:ascii="Geometr706 Md TL" w:hAnsi="Geometr706 Md TL"/>
                <w:b/>
                <w:sz w:val="16"/>
                <w:szCs w:val="16"/>
              </w:rPr>
              <w:t>apstiprināts likumā</w:t>
            </w:r>
          </w:p>
        </w:tc>
        <w:tc>
          <w:tcPr>
            <w:tcW w:w="1459" w:type="dxa"/>
            <w:shd w:val="clear" w:color="auto" w:fill="C6D9F1" w:themeFill="text2" w:themeFillTint="33"/>
            <w:vAlign w:val="center"/>
          </w:tcPr>
          <w:p w:rsidR="003179A2" w:rsidRPr="00256E7F" w:rsidRDefault="003179A2" w:rsidP="003179A2">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b/>
                <w:sz w:val="16"/>
                <w:szCs w:val="16"/>
              </w:rPr>
            </w:pPr>
            <w:r w:rsidRPr="00256E7F">
              <w:rPr>
                <w:rFonts w:ascii="Geometr706 Md TL" w:hAnsi="Geometr706 Md TL"/>
                <w:b/>
                <w:sz w:val="16"/>
                <w:szCs w:val="16"/>
              </w:rPr>
              <w:t>faktiskā izpilde</w:t>
            </w:r>
          </w:p>
        </w:tc>
      </w:tr>
      <w:tr w:rsidR="003179A2" w:rsidRPr="00256E7F" w:rsidTr="003179A2">
        <w:trPr>
          <w:cnfStyle w:val="000000010000" w:firstRow="0" w:lastRow="0" w:firstColumn="0" w:lastColumn="0" w:oddVBand="0" w:evenVBand="0" w:oddHBand="0" w:evenHBand="1" w:firstRowFirstColumn="0" w:firstRowLastColumn="0" w:lastRowFirstColumn="0" w:lastRowLastColumn="0"/>
          <w:trHeight w:val="6"/>
        </w:trPr>
        <w:tc>
          <w:tcPr>
            <w:cnfStyle w:val="001000000000" w:firstRow="0" w:lastRow="0" w:firstColumn="1" w:lastColumn="0" w:oddVBand="0" w:evenVBand="0" w:oddHBand="0" w:evenHBand="0" w:firstRowFirstColumn="0" w:firstRowLastColumn="0" w:lastRowFirstColumn="0" w:lastRowLastColumn="0"/>
            <w:tcW w:w="854" w:type="dxa"/>
            <w:vAlign w:val="center"/>
          </w:tcPr>
          <w:p w:rsidR="003179A2" w:rsidRPr="00256E7F" w:rsidRDefault="003179A2" w:rsidP="003179A2">
            <w:pPr>
              <w:spacing w:before="240" w:line="360" w:lineRule="auto"/>
              <w:rPr>
                <w:rFonts w:ascii="Geometr706 Md TL" w:hAnsi="Geometr706 Md TL"/>
                <w:sz w:val="16"/>
                <w:szCs w:val="16"/>
              </w:rPr>
            </w:pPr>
            <w:r w:rsidRPr="00256E7F">
              <w:rPr>
                <w:rFonts w:ascii="Geometr706 Md TL" w:hAnsi="Geometr706 Md TL"/>
                <w:sz w:val="16"/>
                <w:szCs w:val="16"/>
              </w:rPr>
              <w:t>1.</w:t>
            </w:r>
          </w:p>
        </w:tc>
        <w:tc>
          <w:tcPr>
            <w:tcW w:w="3365" w:type="dxa"/>
            <w:vAlign w:val="center"/>
          </w:tcPr>
          <w:p w:rsidR="003179A2" w:rsidRPr="00256E7F" w:rsidRDefault="003179A2" w:rsidP="003179A2">
            <w:pPr>
              <w:spacing w:before="240" w:line="360" w:lineRule="auto"/>
              <w:cnfStyle w:val="000000010000" w:firstRow="0" w:lastRow="0" w:firstColumn="0" w:lastColumn="0" w:oddVBand="0" w:evenVBand="0" w:oddHBand="0" w:evenHBand="1"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Finanšu resursi izdevumu segšanai (kopā)</w:t>
            </w:r>
          </w:p>
        </w:tc>
        <w:tc>
          <w:tcPr>
            <w:tcW w:w="1308" w:type="dxa"/>
            <w:vAlign w:val="center"/>
          </w:tcPr>
          <w:p w:rsidR="003179A2" w:rsidRPr="00256E7F" w:rsidRDefault="003179A2" w:rsidP="003179A2">
            <w:pPr>
              <w:autoSpaceDE w:val="0"/>
              <w:autoSpaceDN w:val="0"/>
              <w:spacing w:before="240" w:line="360" w:lineRule="auto"/>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1 010 477</w:t>
            </w:r>
          </w:p>
        </w:tc>
        <w:tc>
          <w:tcPr>
            <w:tcW w:w="1102" w:type="dxa"/>
            <w:vAlign w:val="center"/>
          </w:tcPr>
          <w:p w:rsidR="003179A2" w:rsidRPr="00256E7F" w:rsidRDefault="003179A2" w:rsidP="003179A2">
            <w:pPr>
              <w:spacing w:before="240" w:line="360" w:lineRule="auto"/>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1 479 922</w:t>
            </w:r>
          </w:p>
        </w:tc>
        <w:tc>
          <w:tcPr>
            <w:tcW w:w="1459" w:type="dxa"/>
            <w:vAlign w:val="center"/>
          </w:tcPr>
          <w:p w:rsidR="003179A2" w:rsidRPr="00256E7F" w:rsidRDefault="003179A2" w:rsidP="003179A2">
            <w:pPr>
              <w:spacing w:before="240" w:line="360" w:lineRule="auto"/>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1 429 701</w:t>
            </w:r>
          </w:p>
        </w:tc>
      </w:tr>
      <w:tr w:rsidR="003179A2" w:rsidRPr="00256E7F" w:rsidTr="003179A2">
        <w:trPr>
          <w:cnfStyle w:val="000000100000" w:firstRow="0" w:lastRow="0" w:firstColumn="0" w:lastColumn="0" w:oddVBand="0" w:evenVBand="0" w:oddHBand="1" w:evenHBand="0" w:firstRowFirstColumn="0" w:firstRowLastColumn="0" w:lastRowFirstColumn="0" w:lastRowLastColumn="0"/>
          <w:trHeight w:val="3"/>
        </w:trPr>
        <w:tc>
          <w:tcPr>
            <w:cnfStyle w:val="001000000000" w:firstRow="0" w:lastRow="0" w:firstColumn="1" w:lastColumn="0" w:oddVBand="0" w:evenVBand="0" w:oddHBand="0" w:evenHBand="0" w:firstRowFirstColumn="0" w:firstRowLastColumn="0" w:lastRowFirstColumn="0" w:lastRowLastColumn="0"/>
            <w:tcW w:w="854" w:type="dxa"/>
            <w:vAlign w:val="center"/>
          </w:tcPr>
          <w:p w:rsidR="003179A2" w:rsidRPr="00256E7F" w:rsidRDefault="003179A2" w:rsidP="003179A2">
            <w:pPr>
              <w:spacing w:before="240" w:line="360" w:lineRule="auto"/>
              <w:rPr>
                <w:rFonts w:ascii="Geometr706 Md TL" w:hAnsi="Geometr706 Md TL"/>
                <w:sz w:val="16"/>
                <w:szCs w:val="16"/>
              </w:rPr>
            </w:pPr>
            <w:r w:rsidRPr="00256E7F">
              <w:rPr>
                <w:rFonts w:ascii="Geometr706 Md TL" w:hAnsi="Geometr706 Md TL"/>
                <w:sz w:val="16"/>
                <w:szCs w:val="16"/>
              </w:rPr>
              <w:t>1.1.</w:t>
            </w:r>
          </w:p>
        </w:tc>
        <w:tc>
          <w:tcPr>
            <w:tcW w:w="3365" w:type="dxa"/>
            <w:vAlign w:val="center"/>
          </w:tcPr>
          <w:p w:rsidR="003179A2" w:rsidRPr="00256E7F" w:rsidRDefault="003179A2" w:rsidP="003179A2">
            <w:pPr>
              <w:spacing w:before="240" w:line="360" w:lineRule="auto"/>
              <w:cnfStyle w:val="000000100000" w:firstRow="0" w:lastRow="0" w:firstColumn="0" w:lastColumn="0" w:oddVBand="0" w:evenVBand="0" w:oddHBand="1" w:evenHBand="0"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Dotācijas</w:t>
            </w:r>
          </w:p>
        </w:tc>
        <w:tc>
          <w:tcPr>
            <w:tcW w:w="1308" w:type="dxa"/>
            <w:vAlign w:val="center"/>
          </w:tcPr>
          <w:p w:rsidR="003179A2" w:rsidRPr="00256E7F" w:rsidRDefault="003179A2" w:rsidP="003179A2">
            <w:pPr>
              <w:autoSpaceDE w:val="0"/>
              <w:autoSpaceDN w:val="0"/>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986 344</w:t>
            </w:r>
          </w:p>
        </w:tc>
        <w:tc>
          <w:tcPr>
            <w:tcW w:w="1102" w:type="dxa"/>
            <w:vAlign w:val="center"/>
          </w:tcPr>
          <w:p w:rsidR="003179A2" w:rsidRPr="00256E7F" w:rsidRDefault="003179A2" w:rsidP="003179A2">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1 443 407</w:t>
            </w:r>
          </w:p>
        </w:tc>
        <w:tc>
          <w:tcPr>
            <w:tcW w:w="1459" w:type="dxa"/>
            <w:vAlign w:val="center"/>
          </w:tcPr>
          <w:p w:rsidR="003179A2" w:rsidRPr="00256E7F" w:rsidRDefault="003179A2" w:rsidP="003179A2">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1 401 686</w:t>
            </w:r>
          </w:p>
        </w:tc>
      </w:tr>
      <w:tr w:rsidR="003179A2" w:rsidRPr="00256E7F" w:rsidTr="003179A2">
        <w:trPr>
          <w:cnfStyle w:val="000000010000" w:firstRow="0" w:lastRow="0" w:firstColumn="0" w:lastColumn="0" w:oddVBand="0" w:evenVBand="0" w:oddHBand="0" w:evenHBand="1" w:firstRowFirstColumn="0" w:firstRowLastColumn="0" w:lastRowFirstColumn="0" w:lastRowLastColumn="0"/>
          <w:trHeight w:val="11"/>
        </w:trPr>
        <w:tc>
          <w:tcPr>
            <w:cnfStyle w:val="001000000000" w:firstRow="0" w:lastRow="0" w:firstColumn="1" w:lastColumn="0" w:oddVBand="0" w:evenVBand="0" w:oddHBand="0" w:evenHBand="0" w:firstRowFirstColumn="0" w:firstRowLastColumn="0" w:lastRowFirstColumn="0" w:lastRowLastColumn="0"/>
            <w:tcW w:w="854" w:type="dxa"/>
            <w:vAlign w:val="center"/>
          </w:tcPr>
          <w:p w:rsidR="003179A2" w:rsidRPr="00256E7F" w:rsidRDefault="003179A2" w:rsidP="003179A2">
            <w:pPr>
              <w:spacing w:before="240" w:line="360" w:lineRule="auto"/>
              <w:rPr>
                <w:rFonts w:ascii="Geometr706 Md TL" w:hAnsi="Geometr706 Md TL"/>
                <w:sz w:val="16"/>
                <w:szCs w:val="16"/>
              </w:rPr>
            </w:pPr>
            <w:r w:rsidRPr="00256E7F">
              <w:rPr>
                <w:rFonts w:ascii="Geometr706 Md TL" w:hAnsi="Geometr706 Md TL"/>
                <w:sz w:val="16"/>
                <w:szCs w:val="16"/>
              </w:rPr>
              <w:t>1.2.</w:t>
            </w:r>
          </w:p>
        </w:tc>
        <w:tc>
          <w:tcPr>
            <w:tcW w:w="3365" w:type="dxa"/>
            <w:vAlign w:val="center"/>
          </w:tcPr>
          <w:p w:rsidR="003179A2" w:rsidRPr="00256E7F" w:rsidRDefault="003179A2" w:rsidP="003179A2">
            <w:pPr>
              <w:spacing w:before="240" w:line="360" w:lineRule="auto"/>
              <w:cnfStyle w:val="000000010000" w:firstRow="0" w:lastRow="0" w:firstColumn="0" w:lastColumn="0" w:oddVBand="0" w:evenVBand="0" w:oddHBand="0" w:evenHBand="1"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Ieņēmumi no galvenās partneru grupas īstenotajiem ES politikas instrumentu projektiem</w:t>
            </w:r>
          </w:p>
        </w:tc>
        <w:tc>
          <w:tcPr>
            <w:tcW w:w="1308" w:type="dxa"/>
            <w:vAlign w:val="center"/>
          </w:tcPr>
          <w:p w:rsidR="003179A2" w:rsidRPr="00256E7F" w:rsidRDefault="003179A2" w:rsidP="003179A2">
            <w:pPr>
              <w:autoSpaceDE w:val="0"/>
              <w:autoSpaceDN w:val="0"/>
              <w:spacing w:before="240" w:line="360" w:lineRule="auto"/>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b/>
                <w:color w:val="000000"/>
                <w:sz w:val="16"/>
                <w:szCs w:val="16"/>
              </w:rPr>
            </w:pPr>
            <w:r w:rsidRPr="00256E7F">
              <w:rPr>
                <w:rFonts w:ascii="Geometr706 Md TL" w:hAnsi="Geometr706 Md TL"/>
                <w:color w:val="000000"/>
                <w:sz w:val="16"/>
                <w:szCs w:val="16"/>
              </w:rPr>
              <w:t>6 270</w:t>
            </w:r>
          </w:p>
        </w:tc>
        <w:tc>
          <w:tcPr>
            <w:tcW w:w="1102" w:type="dxa"/>
            <w:vAlign w:val="center"/>
          </w:tcPr>
          <w:p w:rsidR="003179A2" w:rsidRPr="00256E7F" w:rsidRDefault="003179A2" w:rsidP="003179A2">
            <w:pPr>
              <w:spacing w:before="240" w:line="360" w:lineRule="auto"/>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26 133</w:t>
            </w:r>
          </w:p>
        </w:tc>
        <w:tc>
          <w:tcPr>
            <w:tcW w:w="1459" w:type="dxa"/>
            <w:vAlign w:val="center"/>
          </w:tcPr>
          <w:p w:rsidR="003179A2" w:rsidRPr="00256E7F" w:rsidRDefault="003179A2" w:rsidP="003179A2">
            <w:pPr>
              <w:spacing w:before="240" w:line="360" w:lineRule="auto"/>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24 503</w:t>
            </w:r>
          </w:p>
        </w:tc>
      </w:tr>
      <w:tr w:rsidR="003179A2" w:rsidRPr="00256E7F" w:rsidTr="003179A2">
        <w:trPr>
          <w:cnfStyle w:val="000000100000" w:firstRow="0" w:lastRow="0" w:firstColumn="0" w:lastColumn="0" w:oddVBand="0" w:evenVBand="0" w:oddHBand="1" w:evenHBand="0" w:firstRowFirstColumn="0" w:firstRowLastColumn="0" w:lastRowFirstColumn="0" w:lastRowLastColumn="0"/>
          <w:trHeight w:val="7"/>
        </w:trPr>
        <w:tc>
          <w:tcPr>
            <w:cnfStyle w:val="001000000000" w:firstRow="0" w:lastRow="0" w:firstColumn="1" w:lastColumn="0" w:oddVBand="0" w:evenVBand="0" w:oddHBand="0" w:evenHBand="0" w:firstRowFirstColumn="0" w:firstRowLastColumn="0" w:lastRowFirstColumn="0" w:lastRowLastColumn="0"/>
            <w:tcW w:w="854" w:type="dxa"/>
            <w:vAlign w:val="center"/>
          </w:tcPr>
          <w:p w:rsidR="003179A2" w:rsidRPr="00256E7F" w:rsidRDefault="003179A2" w:rsidP="003179A2">
            <w:pPr>
              <w:spacing w:before="240" w:line="360" w:lineRule="auto"/>
              <w:rPr>
                <w:rFonts w:ascii="Geometr706 Md TL" w:hAnsi="Geometr706 Md TL"/>
                <w:sz w:val="16"/>
                <w:szCs w:val="16"/>
              </w:rPr>
            </w:pPr>
            <w:r w:rsidRPr="00256E7F">
              <w:rPr>
                <w:rFonts w:ascii="Geometr706 Md TL" w:hAnsi="Geometr706 Md TL"/>
                <w:sz w:val="16"/>
                <w:szCs w:val="16"/>
              </w:rPr>
              <w:t>1.3.</w:t>
            </w:r>
          </w:p>
        </w:tc>
        <w:tc>
          <w:tcPr>
            <w:tcW w:w="3365" w:type="dxa"/>
            <w:vAlign w:val="center"/>
          </w:tcPr>
          <w:p w:rsidR="003179A2" w:rsidRPr="00256E7F" w:rsidRDefault="003179A2" w:rsidP="003179A2">
            <w:pPr>
              <w:spacing w:before="240" w:line="360" w:lineRule="auto"/>
              <w:cnfStyle w:val="000000100000" w:firstRow="0" w:lastRow="0" w:firstColumn="0" w:lastColumn="0" w:oddVBand="0" w:evenVBand="0" w:oddHBand="1" w:evenHBand="0"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Ārvalstu finanšu palīdzība</w:t>
            </w:r>
          </w:p>
        </w:tc>
        <w:tc>
          <w:tcPr>
            <w:tcW w:w="1308" w:type="dxa"/>
            <w:vAlign w:val="center"/>
          </w:tcPr>
          <w:p w:rsidR="003179A2" w:rsidRPr="00256E7F" w:rsidRDefault="003179A2" w:rsidP="003179A2">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b/>
                <w:sz w:val="16"/>
                <w:szCs w:val="16"/>
              </w:rPr>
            </w:pPr>
            <w:r w:rsidRPr="00256E7F">
              <w:rPr>
                <w:rFonts w:ascii="Geometr706 Md TL" w:hAnsi="Geometr706 Md TL"/>
                <w:sz w:val="16"/>
                <w:szCs w:val="16"/>
              </w:rPr>
              <w:t>17 863</w:t>
            </w:r>
          </w:p>
        </w:tc>
        <w:tc>
          <w:tcPr>
            <w:tcW w:w="1102" w:type="dxa"/>
            <w:vAlign w:val="center"/>
          </w:tcPr>
          <w:p w:rsidR="003179A2" w:rsidRPr="00256E7F" w:rsidRDefault="003179A2" w:rsidP="003179A2">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10 382</w:t>
            </w:r>
          </w:p>
        </w:tc>
        <w:tc>
          <w:tcPr>
            <w:tcW w:w="1459" w:type="dxa"/>
            <w:vAlign w:val="center"/>
          </w:tcPr>
          <w:p w:rsidR="003179A2" w:rsidRPr="00256E7F" w:rsidRDefault="003179A2" w:rsidP="003179A2">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3 512</w:t>
            </w:r>
          </w:p>
        </w:tc>
      </w:tr>
      <w:tr w:rsidR="003179A2" w:rsidRPr="00256E7F" w:rsidTr="003179A2">
        <w:trPr>
          <w:cnfStyle w:val="000000010000" w:firstRow="0" w:lastRow="0" w:firstColumn="0" w:lastColumn="0" w:oddVBand="0" w:evenVBand="0" w:oddHBand="0" w:evenHBand="1" w:firstRowFirstColumn="0" w:firstRowLastColumn="0" w:lastRowFirstColumn="0" w:lastRowLastColumn="0"/>
          <w:trHeight w:val="6"/>
        </w:trPr>
        <w:tc>
          <w:tcPr>
            <w:cnfStyle w:val="001000000000" w:firstRow="0" w:lastRow="0" w:firstColumn="1" w:lastColumn="0" w:oddVBand="0" w:evenVBand="0" w:oddHBand="0" w:evenHBand="0" w:firstRowFirstColumn="0" w:firstRowLastColumn="0" w:lastRowFirstColumn="0" w:lastRowLastColumn="0"/>
            <w:tcW w:w="854" w:type="dxa"/>
            <w:vAlign w:val="center"/>
          </w:tcPr>
          <w:p w:rsidR="003179A2" w:rsidRPr="00256E7F" w:rsidRDefault="003179A2" w:rsidP="003179A2">
            <w:pPr>
              <w:spacing w:before="240" w:line="360" w:lineRule="auto"/>
              <w:rPr>
                <w:rFonts w:ascii="Geometr706 Md TL" w:hAnsi="Geometr706 Md TL"/>
                <w:sz w:val="16"/>
                <w:szCs w:val="16"/>
              </w:rPr>
            </w:pPr>
            <w:r w:rsidRPr="00256E7F">
              <w:rPr>
                <w:rFonts w:ascii="Geometr706 Md TL" w:hAnsi="Geometr706 Md TL"/>
                <w:sz w:val="16"/>
                <w:szCs w:val="16"/>
              </w:rPr>
              <w:t>2.</w:t>
            </w:r>
          </w:p>
        </w:tc>
        <w:tc>
          <w:tcPr>
            <w:tcW w:w="3365" w:type="dxa"/>
            <w:vAlign w:val="center"/>
          </w:tcPr>
          <w:p w:rsidR="003179A2" w:rsidRPr="00256E7F" w:rsidRDefault="003179A2" w:rsidP="003179A2">
            <w:pPr>
              <w:spacing w:before="240" w:line="360" w:lineRule="auto"/>
              <w:cnfStyle w:val="000000010000" w:firstRow="0" w:lastRow="0" w:firstColumn="0" w:lastColumn="0" w:oddVBand="0" w:evenVBand="0" w:oddHBand="0" w:evenHBand="1"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Izdevumi (kopā)</w:t>
            </w:r>
          </w:p>
        </w:tc>
        <w:tc>
          <w:tcPr>
            <w:tcW w:w="1308" w:type="dxa"/>
            <w:vAlign w:val="center"/>
          </w:tcPr>
          <w:p w:rsidR="003179A2" w:rsidRPr="00256E7F" w:rsidRDefault="003179A2" w:rsidP="003179A2">
            <w:pPr>
              <w:autoSpaceDE w:val="0"/>
              <w:autoSpaceDN w:val="0"/>
              <w:spacing w:before="240" w:line="360" w:lineRule="auto"/>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1 008 373</w:t>
            </w:r>
          </w:p>
        </w:tc>
        <w:tc>
          <w:tcPr>
            <w:tcW w:w="1102" w:type="dxa"/>
            <w:vAlign w:val="center"/>
          </w:tcPr>
          <w:p w:rsidR="003179A2" w:rsidRPr="00256E7F" w:rsidRDefault="003179A2" w:rsidP="003179A2">
            <w:pPr>
              <w:spacing w:before="240" w:line="360" w:lineRule="auto"/>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1 482 027</w:t>
            </w:r>
          </w:p>
        </w:tc>
        <w:tc>
          <w:tcPr>
            <w:tcW w:w="1459" w:type="dxa"/>
            <w:vAlign w:val="center"/>
          </w:tcPr>
          <w:p w:rsidR="003179A2" w:rsidRPr="00256E7F" w:rsidRDefault="003179A2" w:rsidP="003179A2">
            <w:pPr>
              <w:spacing w:before="240" w:line="360" w:lineRule="auto"/>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1 429 424</w:t>
            </w:r>
          </w:p>
        </w:tc>
      </w:tr>
      <w:tr w:rsidR="003179A2" w:rsidRPr="00256E7F" w:rsidTr="003179A2">
        <w:trPr>
          <w:cnfStyle w:val="000000100000" w:firstRow="0" w:lastRow="0" w:firstColumn="0" w:lastColumn="0" w:oddVBand="0" w:evenVBand="0" w:oddHBand="1" w:evenHBand="0" w:firstRowFirstColumn="0" w:firstRowLastColumn="0" w:lastRowFirstColumn="0" w:lastRowLastColumn="0"/>
          <w:trHeight w:val="7"/>
        </w:trPr>
        <w:tc>
          <w:tcPr>
            <w:cnfStyle w:val="001000000000" w:firstRow="0" w:lastRow="0" w:firstColumn="1" w:lastColumn="0" w:oddVBand="0" w:evenVBand="0" w:oddHBand="0" w:evenHBand="0" w:firstRowFirstColumn="0" w:firstRowLastColumn="0" w:lastRowFirstColumn="0" w:lastRowLastColumn="0"/>
            <w:tcW w:w="854" w:type="dxa"/>
            <w:vAlign w:val="center"/>
          </w:tcPr>
          <w:p w:rsidR="003179A2" w:rsidRPr="00256E7F" w:rsidRDefault="003179A2" w:rsidP="003179A2">
            <w:pPr>
              <w:spacing w:before="240" w:line="360" w:lineRule="auto"/>
              <w:rPr>
                <w:rFonts w:ascii="Geometr706 Md TL" w:hAnsi="Geometr706 Md TL"/>
                <w:sz w:val="16"/>
                <w:szCs w:val="16"/>
              </w:rPr>
            </w:pPr>
            <w:r w:rsidRPr="00256E7F">
              <w:rPr>
                <w:rFonts w:ascii="Geometr706 Md TL" w:hAnsi="Geometr706 Md TL"/>
                <w:sz w:val="16"/>
                <w:szCs w:val="16"/>
              </w:rPr>
              <w:t>2.1.</w:t>
            </w:r>
          </w:p>
        </w:tc>
        <w:tc>
          <w:tcPr>
            <w:tcW w:w="3365" w:type="dxa"/>
            <w:vAlign w:val="center"/>
          </w:tcPr>
          <w:p w:rsidR="003179A2" w:rsidRPr="00256E7F" w:rsidRDefault="003179A2" w:rsidP="003179A2">
            <w:pPr>
              <w:spacing w:before="240" w:line="360" w:lineRule="auto"/>
              <w:cnfStyle w:val="000000100000" w:firstRow="0" w:lastRow="0" w:firstColumn="0" w:lastColumn="0" w:oddVBand="0" w:evenVBand="0" w:oddHBand="1" w:evenHBand="0"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Uzturēšanas izdevumi (kopā)</w:t>
            </w:r>
          </w:p>
        </w:tc>
        <w:tc>
          <w:tcPr>
            <w:tcW w:w="1308" w:type="dxa"/>
            <w:vAlign w:val="center"/>
          </w:tcPr>
          <w:p w:rsidR="003179A2" w:rsidRPr="00256E7F" w:rsidRDefault="003179A2" w:rsidP="003179A2">
            <w:pPr>
              <w:autoSpaceDE w:val="0"/>
              <w:autoSpaceDN w:val="0"/>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988 845</w:t>
            </w:r>
          </w:p>
        </w:tc>
        <w:tc>
          <w:tcPr>
            <w:tcW w:w="1102" w:type="dxa"/>
            <w:vAlign w:val="center"/>
          </w:tcPr>
          <w:p w:rsidR="003179A2" w:rsidRPr="00256E7F" w:rsidRDefault="003179A2" w:rsidP="003179A2">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1 412 930</w:t>
            </w:r>
          </w:p>
        </w:tc>
        <w:tc>
          <w:tcPr>
            <w:tcW w:w="1459" w:type="dxa"/>
            <w:vAlign w:val="center"/>
          </w:tcPr>
          <w:p w:rsidR="003179A2" w:rsidRPr="00256E7F" w:rsidRDefault="003179A2" w:rsidP="003179A2">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1 361 528</w:t>
            </w:r>
          </w:p>
        </w:tc>
      </w:tr>
      <w:tr w:rsidR="003179A2" w:rsidRPr="00256E7F" w:rsidTr="003179A2">
        <w:trPr>
          <w:cnfStyle w:val="000000010000" w:firstRow="0" w:lastRow="0" w:firstColumn="0" w:lastColumn="0" w:oddVBand="0" w:evenVBand="0" w:oddHBand="0" w:evenHBand="1" w:firstRowFirstColumn="0" w:firstRowLastColumn="0" w:lastRowFirstColumn="0" w:lastRowLastColumn="0"/>
          <w:trHeight w:val="6"/>
        </w:trPr>
        <w:tc>
          <w:tcPr>
            <w:cnfStyle w:val="001000000000" w:firstRow="0" w:lastRow="0" w:firstColumn="1" w:lastColumn="0" w:oddVBand="0" w:evenVBand="0" w:oddHBand="0" w:evenHBand="0" w:firstRowFirstColumn="0" w:firstRowLastColumn="0" w:lastRowFirstColumn="0" w:lastRowLastColumn="0"/>
            <w:tcW w:w="854" w:type="dxa"/>
            <w:vAlign w:val="center"/>
          </w:tcPr>
          <w:p w:rsidR="003179A2" w:rsidRPr="00256E7F" w:rsidRDefault="003179A2" w:rsidP="003179A2">
            <w:pPr>
              <w:spacing w:before="240" w:line="360" w:lineRule="auto"/>
              <w:rPr>
                <w:rFonts w:ascii="Geometr706 Md TL" w:hAnsi="Geometr706 Md TL"/>
                <w:sz w:val="16"/>
                <w:szCs w:val="16"/>
              </w:rPr>
            </w:pPr>
            <w:r w:rsidRPr="00256E7F">
              <w:rPr>
                <w:rFonts w:ascii="Geometr706 Md TL" w:hAnsi="Geometr706 Md TL"/>
                <w:sz w:val="16"/>
                <w:szCs w:val="16"/>
              </w:rPr>
              <w:t>2.1.1.</w:t>
            </w:r>
          </w:p>
        </w:tc>
        <w:tc>
          <w:tcPr>
            <w:tcW w:w="3365" w:type="dxa"/>
            <w:vAlign w:val="center"/>
          </w:tcPr>
          <w:p w:rsidR="003179A2" w:rsidRPr="00256E7F" w:rsidRDefault="003179A2" w:rsidP="003179A2">
            <w:pPr>
              <w:spacing w:before="240" w:line="360" w:lineRule="auto"/>
              <w:cnfStyle w:val="000000010000" w:firstRow="0" w:lastRow="0" w:firstColumn="0" w:lastColumn="0" w:oddVBand="0" w:evenVBand="0" w:oddHBand="0" w:evenHBand="1"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Kārtējie izdevumi</w:t>
            </w:r>
          </w:p>
        </w:tc>
        <w:tc>
          <w:tcPr>
            <w:tcW w:w="1308" w:type="dxa"/>
            <w:vAlign w:val="center"/>
          </w:tcPr>
          <w:p w:rsidR="003179A2" w:rsidRPr="00256E7F" w:rsidRDefault="003179A2" w:rsidP="003179A2">
            <w:pPr>
              <w:autoSpaceDE w:val="0"/>
              <w:autoSpaceDN w:val="0"/>
              <w:spacing w:before="240" w:line="360" w:lineRule="auto"/>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974 143</w:t>
            </w:r>
          </w:p>
        </w:tc>
        <w:tc>
          <w:tcPr>
            <w:tcW w:w="1102" w:type="dxa"/>
            <w:vAlign w:val="center"/>
          </w:tcPr>
          <w:p w:rsidR="003179A2" w:rsidRPr="00256E7F" w:rsidRDefault="003179A2" w:rsidP="003179A2">
            <w:pPr>
              <w:spacing w:before="240" w:line="360" w:lineRule="auto"/>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1 387 728</w:t>
            </w:r>
          </w:p>
        </w:tc>
        <w:tc>
          <w:tcPr>
            <w:tcW w:w="1459" w:type="dxa"/>
            <w:vAlign w:val="center"/>
          </w:tcPr>
          <w:p w:rsidR="003179A2" w:rsidRPr="00256E7F" w:rsidRDefault="003179A2" w:rsidP="003179A2">
            <w:pPr>
              <w:spacing w:before="240" w:line="360" w:lineRule="auto"/>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1 343 196</w:t>
            </w:r>
          </w:p>
        </w:tc>
      </w:tr>
      <w:tr w:rsidR="003179A2" w:rsidRPr="00256E7F" w:rsidTr="003179A2">
        <w:trPr>
          <w:cnfStyle w:val="000000100000" w:firstRow="0" w:lastRow="0" w:firstColumn="0" w:lastColumn="0" w:oddVBand="0" w:evenVBand="0" w:oddHBand="1" w:evenHBand="0" w:firstRowFirstColumn="0" w:firstRowLastColumn="0" w:lastRowFirstColumn="0" w:lastRowLastColumn="0"/>
          <w:trHeight w:val="6"/>
        </w:trPr>
        <w:tc>
          <w:tcPr>
            <w:cnfStyle w:val="001000000000" w:firstRow="0" w:lastRow="0" w:firstColumn="1" w:lastColumn="0" w:oddVBand="0" w:evenVBand="0" w:oddHBand="0" w:evenHBand="0" w:firstRowFirstColumn="0" w:firstRowLastColumn="0" w:lastRowFirstColumn="0" w:lastRowLastColumn="0"/>
            <w:tcW w:w="854" w:type="dxa"/>
            <w:vAlign w:val="center"/>
          </w:tcPr>
          <w:p w:rsidR="003179A2" w:rsidRPr="00256E7F" w:rsidRDefault="003179A2" w:rsidP="003179A2">
            <w:pPr>
              <w:spacing w:before="240" w:line="360" w:lineRule="auto"/>
              <w:rPr>
                <w:rFonts w:ascii="Geometr706 Md TL" w:hAnsi="Geometr706 Md TL"/>
                <w:sz w:val="16"/>
                <w:szCs w:val="16"/>
              </w:rPr>
            </w:pPr>
            <w:r w:rsidRPr="00256E7F">
              <w:rPr>
                <w:rFonts w:ascii="Geometr706 Md TL" w:hAnsi="Geometr706 Md TL"/>
                <w:sz w:val="16"/>
                <w:szCs w:val="16"/>
              </w:rPr>
              <w:t>2.2.</w:t>
            </w:r>
          </w:p>
        </w:tc>
        <w:tc>
          <w:tcPr>
            <w:tcW w:w="3365" w:type="dxa"/>
            <w:vAlign w:val="center"/>
          </w:tcPr>
          <w:p w:rsidR="003179A2" w:rsidRPr="00256E7F" w:rsidRDefault="003179A2" w:rsidP="003179A2">
            <w:pPr>
              <w:spacing w:before="240" w:line="360" w:lineRule="auto"/>
              <w:cnfStyle w:val="000000100000" w:firstRow="0" w:lastRow="0" w:firstColumn="0" w:lastColumn="0" w:oddVBand="0" w:evenVBand="0" w:oddHBand="1" w:evenHBand="0"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Izdevumi kapitālieguldījumiem</w:t>
            </w:r>
          </w:p>
        </w:tc>
        <w:tc>
          <w:tcPr>
            <w:tcW w:w="1308" w:type="dxa"/>
            <w:vAlign w:val="center"/>
          </w:tcPr>
          <w:p w:rsidR="003179A2" w:rsidRPr="00256E7F" w:rsidRDefault="003179A2" w:rsidP="003179A2">
            <w:pPr>
              <w:autoSpaceDE w:val="0"/>
              <w:autoSpaceDN w:val="0"/>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19 528</w:t>
            </w:r>
          </w:p>
        </w:tc>
        <w:tc>
          <w:tcPr>
            <w:tcW w:w="1102" w:type="dxa"/>
            <w:vAlign w:val="center"/>
          </w:tcPr>
          <w:p w:rsidR="003179A2" w:rsidRPr="00256E7F" w:rsidRDefault="003179A2" w:rsidP="003179A2">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69 097</w:t>
            </w:r>
          </w:p>
        </w:tc>
        <w:tc>
          <w:tcPr>
            <w:tcW w:w="1459" w:type="dxa"/>
            <w:vAlign w:val="center"/>
          </w:tcPr>
          <w:p w:rsidR="003179A2" w:rsidRPr="00256E7F" w:rsidRDefault="003179A2" w:rsidP="003179A2">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67 896</w:t>
            </w:r>
          </w:p>
        </w:tc>
      </w:tr>
      <w:tr w:rsidR="003179A2" w:rsidRPr="00256E7F" w:rsidTr="003179A2">
        <w:trPr>
          <w:cnfStyle w:val="000000010000" w:firstRow="0" w:lastRow="0" w:firstColumn="0" w:lastColumn="0" w:oddVBand="0" w:evenVBand="0" w:oddHBand="0" w:evenHBand="1" w:firstRowFirstColumn="0" w:firstRowLastColumn="0" w:lastRowFirstColumn="0" w:lastRowLastColumn="0"/>
          <w:trHeight w:val="3"/>
        </w:trPr>
        <w:tc>
          <w:tcPr>
            <w:cnfStyle w:val="001000000000" w:firstRow="0" w:lastRow="0" w:firstColumn="1" w:lastColumn="0" w:oddVBand="0" w:evenVBand="0" w:oddHBand="0" w:evenHBand="0" w:firstRowFirstColumn="0" w:firstRowLastColumn="0" w:lastRowFirstColumn="0" w:lastRowLastColumn="0"/>
            <w:tcW w:w="854" w:type="dxa"/>
            <w:vAlign w:val="center"/>
          </w:tcPr>
          <w:p w:rsidR="003179A2" w:rsidRPr="00256E7F" w:rsidRDefault="003179A2" w:rsidP="003179A2">
            <w:pPr>
              <w:spacing w:before="240" w:line="360" w:lineRule="auto"/>
              <w:rPr>
                <w:rFonts w:ascii="Geometr706 Md TL" w:hAnsi="Geometr706 Md TL"/>
                <w:sz w:val="16"/>
                <w:szCs w:val="16"/>
              </w:rPr>
            </w:pPr>
            <w:r w:rsidRPr="00256E7F">
              <w:rPr>
                <w:rFonts w:ascii="Geometr706 Md TL" w:hAnsi="Geometr706 Md TL"/>
                <w:sz w:val="16"/>
                <w:szCs w:val="16"/>
              </w:rPr>
              <w:t>2.3.</w:t>
            </w:r>
          </w:p>
        </w:tc>
        <w:tc>
          <w:tcPr>
            <w:tcW w:w="3365" w:type="dxa"/>
            <w:vAlign w:val="center"/>
          </w:tcPr>
          <w:p w:rsidR="003179A2" w:rsidRPr="00256E7F" w:rsidRDefault="003179A2" w:rsidP="003179A2">
            <w:pPr>
              <w:spacing w:before="240" w:line="360" w:lineRule="auto"/>
              <w:cnfStyle w:val="000000010000" w:firstRow="0" w:lastRow="0" w:firstColumn="0" w:lastColumn="0" w:oddVBand="0" w:evenVBand="0" w:oddHBand="0" w:evenHBand="1"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Subsīdijas, dotācijas un sociālie pabalsti</w:t>
            </w:r>
          </w:p>
        </w:tc>
        <w:tc>
          <w:tcPr>
            <w:tcW w:w="1308" w:type="dxa"/>
            <w:vAlign w:val="center"/>
          </w:tcPr>
          <w:p w:rsidR="003179A2" w:rsidRPr="00256E7F" w:rsidRDefault="003179A2" w:rsidP="003179A2">
            <w:pPr>
              <w:autoSpaceDE w:val="0"/>
              <w:autoSpaceDN w:val="0"/>
              <w:spacing w:before="240" w:line="360" w:lineRule="auto"/>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w:t>
            </w:r>
          </w:p>
        </w:tc>
        <w:tc>
          <w:tcPr>
            <w:tcW w:w="1102" w:type="dxa"/>
            <w:vAlign w:val="center"/>
          </w:tcPr>
          <w:p w:rsidR="003179A2" w:rsidRPr="00256E7F" w:rsidRDefault="003179A2" w:rsidP="003179A2">
            <w:pPr>
              <w:spacing w:before="240" w:line="360" w:lineRule="auto"/>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14 820</w:t>
            </w:r>
          </w:p>
        </w:tc>
        <w:tc>
          <w:tcPr>
            <w:tcW w:w="1459" w:type="dxa"/>
            <w:vAlign w:val="center"/>
          </w:tcPr>
          <w:p w:rsidR="003179A2" w:rsidRPr="00256E7F" w:rsidRDefault="003179A2" w:rsidP="003179A2">
            <w:pPr>
              <w:spacing w:before="240" w:line="360" w:lineRule="auto"/>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14 820</w:t>
            </w:r>
          </w:p>
        </w:tc>
      </w:tr>
    </w:tbl>
    <w:p w:rsidR="00256E7F" w:rsidRPr="00256E7F" w:rsidRDefault="00256E7F" w:rsidP="00256E7F">
      <w:pPr>
        <w:pStyle w:val="ListParagraph"/>
        <w:widowControl/>
        <w:adjustRightInd/>
        <w:spacing w:line="276" w:lineRule="auto"/>
        <w:jc w:val="center"/>
        <w:textAlignment w:val="auto"/>
        <w:rPr>
          <w:rFonts w:ascii="Geometr706 Md TL" w:hAnsi="Geometr706 Md TL"/>
          <w:b/>
          <w:color w:val="FF0000"/>
        </w:rPr>
      </w:pPr>
    </w:p>
    <w:p w:rsidR="00256E7F" w:rsidRDefault="00256E7F">
      <w:pPr>
        <w:rPr>
          <w:rFonts w:ascii="Geometr706 Md TL" w:eastAsiaTheme="majorEastAsia" w:hAnsi="Geometr706 Md TL" w:cs="Times New Roman"/>
          <w:b/>
          <w:bCs/>
          <w:sz w:val="28"/>
          <w:szCs w:val="28"/>
          <w:lang w:eastAsia="lv-LV"/>
        </w:rPr>
      </w:pPr>
      <w:bookmarkStart w:id="28" w:name="_2.2._Rezultatīvo_rādītāju"/>
      <w:bookmarkStart w:id="29" w:name="_Toc355696786"/>
      <w:bookmarkStart w:id="30" w:name="_Toc380143872"/>
      <w:bookmarkStart w:id="31" w:name="_Toc380147112"/>
      <w:bookmarkEnd w:id="28"/>
      <w:r>
        <w:rPr>
          <w:rFonts w:ascii="Geometr706 Md TL" w:hAnsi="Geometr706 Md TL" w:cs="Times New Roman"/>
          <w:sz w:val="28"/>
          <w:szCs w:val="28"/>
        </w:rPr>
        <w:br w:type="page"/>
      </w:r>
    </w:p>
    <w:p w:rsidR="00256E7F" w:rsidRPr="00256E7F" w:rsidRDefault="00256E7F" w:rsidP="00256E7F">
      <w:pPr>
        <w:pStyle w:val="Heading2"/>
        <w:jc w:val="center"/>
        <w:rPr>
          <w:rFonts w:ascii="Geometr706 Md TL" w:hAnsi="Geometr706 Md TL" w:cs="Times New Roman"/>
          <w:color w:val="auto"/>
          <w:sz w:val="28"/>
          <w:szCs w:val="28"/>
        </w:rPr>
      </w:pPr>
      <w:bookmarkStart w:id="32" w:name="_Toc392836097"/>
      <w:r w:rsidRPr="00256E7F">
        <w:rPr>
          <w:rFonts w:ascii="Geometr706 Md TL" w:hAnsi="Geometr706 Md TL" w:cs="Times New Roman"/>
          <w:color w:val="auto"/>
          <w:sz w:val="28"/>
          <w:szCs w:val="28"/>
        </w:rPr>
        <w:lastRenderedPageBreak/>
        <w:t>2.2. Rezultatīvo rādītāju izpildes analīze un valsts budžeta līdzekļu efektivitātes izvērtējums</w:t>
      </w:r>
      <w:bookmarkEnd w:id="29"/>
      <w:bookmarkEnd w:id="30"/>
      <w:bookmarkEnd w:id="31"/>
      <w:bookmarkEnd w:id="32"/>
    </w:p>
    <w:p w:rsidR="00256E7F" w:rsidRPr="00256E7F" w:rsidRDefault="00256E7F" w:rsidP="00256E7F">
      <w:pPr>
        <w:rPr>
          <w:rFonts w:ascii="Geometr706 Md TL" w:hAnsi="Geometr706 Md TL"/>
        </w:rPr>
      </w:pPr>
    </w:p>
    <w:p w:rsidR="00256E7F" w:rsidRPr="00AA3E3F" w:rsidRDefault="00256E7F" w:rsidP="00256E7F">
      <w:pPr>
        <w:ind w:right="41"/>
        <w:rPr>
          <w:rFonts w:ascii="Geometr706 Md TL" w:hAnsi="Geometr706 Md TL"/>
          <w:b/>
          <w:bCs/>
          <w:iCs/>
          <w:sz w:val="20"/>
          <w:szCs w:val="20"/>
        </w:rPr>
      </w:pPr>
      <w:r w:rsidRPr="00AA3E3F">
        <w:rPr>
          <w:rFonts w:ascii="Geometr706 Md TL" w:hAnsi="Geometr706 Md TL"/>
          <w:sz w:val="20"/>
          <w:szCs w:val="20"/>
        </w:rPr>
        <w:t xml:space="preserve">2013. gada ietvaros plānotie rezultatīvie rādītāji ir sasniegti (skatīt </w:t>
      </w:r>
      <w:r w:rsidRPr="00AA3E3F">
        <w:rPr>
          <w:rFonts w:ascii="Geometr706 Md TL" w:hAnsi="Geometr706 Md TL"/>
          <w:i/>
          <w:sz w:val="20"/>
          <w:szCs w:val="20"/>
        </w:rPr>
        <w:t>2.2. tabulu</w:t>
      </w:r>
      <w:r w:rsidRPr="00AA3E3F">
        <w:rPr>
          <w:rFonts w:ascii="Geometr706 Md TL" w:hAnsi="Geometr706 Md TL"/>
          <w:sz w:val="20"/>
          <w:szCs w:val="20"/>
        </w:rPr>
        <w:t>).</w:t>
      </w:r>
    </w:p>
    <w:p w:rsidR="00256E7F" w:rsidRPr="00256E7F" w:rsidRDefault="00256E7F" w:rsidP="00256E7F">
      <w:pPr>
        <w:jc w:val="center"/>
        <w:rPr>
          <w:rFonts w:ascii="Geometr706 Md TL" w:hAnsi="Geometr706 Md TL"/>
          <w:b/>
          <w:bCs/>
          <w:szCs w:val="28"/>
        </w:rPr>
      </w:pPr>
      <w:bookmarkStart w:id="33" w:name="_2.3._PTAC_darbības"/>
      <w:bookmarkEnd w:id="33"/>
      <w:r w:rsidRPr="00256E7F">
        <w:rPr>
          <w:rFonts w:ascii="Geometr706 Md TL" w:hAnsi="Geometr706 Md TL"/>
          <w:b/>
          <w:bCs/>
          <w:szCs w:val="28"/>
        </w:rPr>
        <w:t>PTAC 2013. gada rezultatīvo rādītāju izpilde</w:t>
      </w:r>
    </w:p>
    <w:tbl>
      <w:tblPr>
        <w:tblStyle w:val="LightGrid-Accent11"/>
        <w:tblW w:w="8707" w:type="dxa"/>
        <w:tblInd w:w="-380" w:type="dxa"/>
        <w:tblLook w:val="04A0" w:firstRow="1" w:lastRow="0" w:firstColumn="1" w:lastColumn="0" w:noHBand="0" w:noVBand="1"/>
      </w:tblPr>
      <w:tblGrid>
        <w:gridCol w:w="5020"/>
        <w:gridCol w:w="1912"/>
        <w:gridCol w:w="1775"/>
      </w:tblGrid>
      <w:tr w:rsidR="00256E7F" w:rsidRPr="00256E7F" w:rsidTr="00256E7F">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020" w:type="dxa"/>
            <w:vAlign w:val="center"/>
          </w:tcPr>
          <w:p w:rsidR="00256E7F" w:rsidRPr="00256E7F" w:rsidRDefault="00256E7F" w:rsidP="00256E7F">
            <w:pPr>
              <w:spacing w:before="100" w:beforeAutospacing="1" w:after="100" w:afterAutospacing="1"/>
              <w:jc w:val="center"/>
              <w:rPr>
                <w:rFonts w:ascii="Geometr706 Md TL" w:hAnsi="Geometr706 Md TL"/>
                <w:sz w:val="18"/>
                <w:szCs w:val="18"/>
              </w:rPr>
            </w:pPr>
            <w:r w:rsidRPr="00256E7F">
              <w:rPr>
                <w:rFonts w:ascii="Geometr706 Md TL" w:hAnsi="Geometr706 Md TL"/>
                <w:sz w:val="18"/>
                <w:szCs w:val="18"/>
              </w:rPr>
              <w:t>Rezultatīvā rādītāja nosaukums</w:t>
            </w:r>
          </w:p>
        </w:tc>
        <w:tc>
          <w:tcPr>
            <w:tcW w:w="1912" w:type="dxa"/>
            <w:vAlign w:val="center"/>
          </w:tcPr>
          <w:p w:rsidR="00256E7F" w:rsidRPr="00256E7F" w:rsidRDefault="00256E7F" w:rsidP="00256E7F">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2013. gadā plānotais</w:t>
            </w:r>
          </w:p>
        </w:tc>
        <w:tc>
          <w:tcPr>
            <w:tcW w:w="1775" w:type="dxa"/>
            <w:vAlign w:val="center"/>
          </w:tcPr>
          <w:p w:rsidR="00256E7F" w:rsidRPr="00256E7F" w:rsidRDefault="00256E7F" w:rsidP="00256E7F">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2013. gada izpilde</w:t>
            </w:r>
          </w:p>
        </w:tc>
      </w:tr>
      <w:tr w:rsidR="00256E7F" w:rsidRPr="00256E7F" w:rsidTr="00256E7F">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5020" w:type="dxa"/>
          </w:tcPr>
          <w:p w:rsidR="00256E7F" w:rsidRPr="00256E7F" w:rsidRDefault="00256E7F" w:rsidP="00256E7F">
            <w:pPr>
              <w:spacing w:before="100" w:beforeAutospacing="1" w:after="100" w:afterAutospacing="1"/>
              <w:rPr>
                <w:rFonts w:ascii="Geometr706 Md TL" w:hAnsi="Geometr706 Md TL"/>
                <w:sz w:val="18"/>
                <w:szCs w:val="18"/>
              </w:rPr>
            </w:pPr>
            <w:r w:rsidRPr="00256E7F">
              <w:rPr>
                <w:rFonts w:ascii="Geometr706 Md TL" w:hAnsi="Geometr706 Md TL"/>
                <w:sz w:val="18"/>
                <w:szCs w:val="18"/>
              </w:rPr>
              <w:t>Īstenoti preču vai pakalpojumu drošuma un atbilstības uzlabošanas projekti (projektu skaits)</w:t>
            </w:r>
          </w:p>
        </w:tc>
        <w:tc>
          <w:tcPr>
            <w:tcW w:w="1912" w:type="dxa"/>
            <w:vAlign w:val="center"/>
          </w:tcPr>
          <w:p w:rsidR="00256E7F" w:rsidRPr="00256E7F" w:rsidRDefault="00256E7F" w:rsidP="00256E7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8"/>
                <w:szCs w:val="18"/>
                <w:highlight w:val="yellow"/>
              </w:rPr>
            </w:pPr>
            <w:r w:rsidRPr="00256E7F">
              <w:rPr>
                <w:rFonts w:ascii="Geometr706 Md TL" w:hAnsi="Geometr706 Md TL"/>
                <w:sz w:val="18"/>
                <w:szCs w:val="18"/>
              </w:rPr>
              <w:t>7–8</w:t>
            </w:r>
          </w:p>
        </w:tc>
        <w:tc>
          <w:tcPr>
            <w:tcW w:w="1775" w:type="dxa"/>
            <w:vAlign w:val="center"/>
          </w:tcPr>
          <w:p w:rsidR="00256E7F" w:rsidRPr="00256E7F" w:rsidRDefault="00256E7F" w:rsidP="00256E7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8"/>
                <w:szCs w:val="18"/>
                <w:highlight w:val="yellow"/>
              </w:rPr>
            </w:pPr>
            <w:r w:rsidRPr="00256E7F">
              <w:rPr>
                <w:rFonts w:ascii="Geometr706 Md TL" w:hAnsi="Geometr706 Md TL"/>
                <w:sz w:val="18"/>
                <w:szCs w:val="18"/>
              </w:rPr>
              <w:t>8</w:t>
            </w:r>
          </w:p>
        </w:tc>
      </w:tr>
      <w:tr w:rsidR="00256E7F" w:rsidRPr="00256E7F" w:rsidTr="00256E7F">
        <w:trPr>
          <w:cnfStyle w:val="000000010000" w:firstRow="0" w:lastRow="0" w:firstColumn="0" w:lastColumn="0" w:oddVBand="0" w:evenVBand="0" w:oddHBand="0" w:evenHBand="1"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5020" w:type="dxa"/>
          </w:tcPr>
          <w:p w:rsidR="00256E7F" w:rsidRPr="00256E7F" w:rsidRDefault="00256E7F" w:rsidP="00256E7F">
            <w:pPr>
              <w:spacing w:before="100" w:beforeAutospacing="1" w:after="100" w:afterAutospacing="1"/>
              <w:rPr>
                <w:rFonts w:ascii="Geometr706 Md TL" w:hAnsi="Geometr706 Md TL"/>
                <w:sz w:val="18"/>
                <w:szCs w:val="18"/>
              </w:rPr>
            </w:pPr>
            <w:r w:rsidRPr="00256E7F">
              <w:rPr>
                <w:rFonts w:ascii="Geometr706 Md TL" w:hAnsi="Geometr706 Md TL"/>
                <w:sz w:val="18"/>
                <w:szCs w:val="18"/>
              </w:rPr>
              <w:t>Īstenoti bīstamo iekārtu uzraudzības projekti (projektu skaits)</w:t>
            </w:r>
          </w:p>
        </w:tc>
        <w:tc>
          <w:tcPr>
            <w:tcW w:w="1912" w:type="dxa"/>
            <w:vAlign w:val="center"/>
          </w:tcPr>
          <w:p w:rsidR="00256E7F" w:rsidRPr="00256E7F" w:rsidRDefault="00256E7F" w:rsidP="00256E7F">
            <w:pPr>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1</w:t>
            </w:r>
          </w:p>
        </w:tc>
        <w:tc>
          <w:tcPr>
            <w:tcW w:w="1775" w:type="dxa"/>
            <w:vAlign w:val="center"/>
          </w:tcPr>
          <w:p w:rsidR="00256E7F" w:rsidRPr="00256E7F" w:rsidRDefault="00256E7F" w:rsidP="00256E7F">
            <w:pPr>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1</w:t>
            </w:r>
          </w:p>
        </w:tc>
      </w:tr>
      <w:tr w:rsidR="00256E7F" w:rsidRPr="00256E7F" w:rsidTr="00256E7F">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5020" w:type="dxa"/>
          </w:tcPr>
          <w:p w:rsidR="00256E7F" w:rsidRPr="00256E7F" w:rsidRDefault="00256E7F" w:rsidP="00256E7F">
            <w:pPr>
              <w:spacing w:before="100" w:beforeAutospacing="1" w:after="100" w:afterAutospacing="1"/>
              <w:rPr>
                <w:rFonts w:ascii="Geometr706 Md TL" w:hAnsi="Geometr706 Md TL"/>
                <w:sz w:val="18"/>
                <w:szCs w:val="18"/>
              </w:rPr>
            </w:pPr>
            <w:r w:rsidRPr="00256E7F">
              <w:rPr>
                <w:rFonts w:ascii="Geometr706 Md TL" w:hAnsi="Geometr706 Md TL"/>
                <w:sz w:val="18"/>
                <w:szCs w:val="18"/>
              </w:rPr>
              <w:t>Īstenoti valsts metroloģiskās uzraudzības projekti (projektu skaits)</w:t>
            </w:r>
          </w:p>
        </w:tc>
        <w:tc>
          <w:tcPr>
            <w:tcW w:w="1912" w:type="dxa"/>
            <w:vAlign w:val="center"/>
          </w:tcPr>
          <w:p w:rsidR="00256E7F" w:rsidRPr="00256E7F" w:rsidRDefault="00256E7F" w:rsidP="00256E7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1</w:t>
            </w:r>
          </w:p>
        </w:tc>
        <w:tc>
          <w:tcPr>
            <w:tcW w:w="1775" w:type="dxa"/>
            <w:vAlign w:val="center"/>
          </w:tcPr>
          <w:p w:rsidR="00256E7F" w:rsidRPr="00256E7F" w:rsidRDefault="00256E7F" w:rsidP="00256E7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1</w:t>
            </w:r>
          </w:p>
        </w:tc>
      </w:tr>
      <w:tr w:rsidR="00256E7F" w:rsidRPr="00256E7F" w:rsidTr="00256E7F">
        <w:trPr>
          <w:cnfStyle w:val="000000010000" w:firstRow="0" w:lastRow="0" w:firstColumn="0" w:lastColumn="0" w:oddVBand="0" w:evenVBand="0" w:oddHBand="0" w:evenHBand="1"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5020" w:type="dxa"/>
          </w:tcPr>
          <w:p w:rsidR="00256E7F" w:rsidRPr="00256E7F" w:rsidRDefault="00256E7F" w:rsidP="00256E7F">
            <w:pPr>
              <w:spacing w:before="100" w:beforeAutospacing="1" w:after="100" w:afterAutospacing="1"/>
              <w:rPr>
                <w:rFonts w:ascii="Geometr706 Md TL" w:hAnsi="Geometr706 Md TL"/>
                <w:sz w:val="18"/>
                <w:szCs w:val="18"/>
              </w:rPr>
            </w:pPr>
            <w:r w:rsidRPr="00256E7F">
              <w:rPr>
                <w:rFonts w:ascii="Geometr706 Md TL" w:hAnsi="Geometr706 Md TL"/>
                <w:sz w:val="18"/>
                <w:szCs w:val="18"/>
              </w:rPr>
              <w:t>Veikta tirdzniecības, ražošanas un pakalpojumu sniegšanas vietu pārbaude (skaits)</w:t>
            </w:r>
          </w:p>
        </w:tc>
        <w:tc>
          <w:tcPr>
            <w:tcW w:w="1912" w:type="dxa"/>
            <w:vAlign w:val="center"/>
          </w:tcPr>
          <w:p w:rsidR="00256E7F" w:rsidRPr="00256E7F" w:rsidRDefault="00256E7F" w:rsidP="00256E7F">
            <w:pPr>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850–1200</w:t>
            </w:r>
          </w:p>
        </w:tc>
        <w:tc>
          <w:tcPr>
            <w:tcW w:w="1775" w:type="dxa"/>
            <w:vAlign w:val="center"/>
          </w:tcPr>
          <w:p w:rsidR="00256E7F" w:rsidRPr="00256E7F" w:rsidRDefault="00256E7F" w:rsidP="00256E7F">
            <w:pPr>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916</w:t>
            </w:r>
          </w:p>
        </w:tc>
      </w:tr>
      <w:tr w:rsidR="00256E7F" w:rsidRPr="00256E7F" w:rsidTr="00256E7F">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5020" w:type="dxa"/>
          </w:tcPr>
          <w:p w:rsidR="00256E7F" w:rsidRPr="00256E7F" w:rsidRDefault="00256E7F" w:rsidP="00256E7F">
            <w:pPr>
              <w:spacing w:before="100" w:beforeAutospacing="1" w:after="100" w:afterAutospacing="1"/>
              <w:rPr>
                <w:rFonts w:ascii="Geometr706 Md TL" w:hAnsi="Geometr706 Md TL"/>
                <w:sz w:val="18"/>
                <w:szCs w:val="18"/>
              </w:rPr>
            </w:pPr>
            <w:r w:rsidRPr="00256E7F">
              <w:rPr>
                <w:rFonts w:ascii="Geometr706 Md TL" w:hAnsi="Geometr706 Md TL"/>
                <w:sz w:val="18"/>
                <w:szCs w:val="18"/>
              </w:rPr>
              <w:t>Veikta fasēto preču kontrole uzņēmumos (uzņēmumu skaits)</w:t>
            </w:r>
          </w:p>
        </w:tc>
        <w:tc>
          <w:tcPr>
            <w:tcW w:w="1912" w:type="dxa"/>
            <w:vAlign w:val="center"/>
          </w:tcPr>
          <w:p w:rsidR="00256E7F" w:rsidRPr="00256E7F" w:rsidRDefault="00256E7F" w:rsidP="00256E7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40–70</w:t>
            </w:r>
          </w:p>
        </w:tc>
        <w:tc>
          <w:tcPr>
            <w:tcW w:w="1775" w:type="dxa"/>
            <w:vAlign w:val="center"/>
          </w:tcPr>
          <w:p w:rsidR="00256E7F" w:rsidRPr="00256E7F" w:rsidRDefault="00256E7F" w:rsidP="00256E7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40</w:t>
            </w:r>
          </w:p>
        </w:tc>
      </w:tr>
      <w:tr w:rsidR="00256E7F" w:rsidRPr="00256E7F" w:rsidTr="00256E7F">
        <w:trPr>
          <w:cnfStyle w:val="000000010000" w:firstRow="0" w:lastRow="0" w:firstColumn="0" w:lastColumn="0" w:oddVBand="0" w:evenVBand="0" w:oddHBand="0" w:evenHBand="1"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5020" w:type="dxa"/>
          </w:tcPr>
          <w:p w:rsidR="00256E7F" w:rsidRPr="00256E7F" w:rsidRDefault="00256E7F" w:rsidP="00256E7F">
            <w:pPr>
              <w:spacing w:before="100" w:beforeAutospacing="1" w:after="100" w:afterAutospacing="1"/>
              <w:rPr>
                <w:rFonts w:ascii="Geometr706 Md TL" w:hAnsi="Geometr706 Md TL"/>
                <w:sz w:val="18"/>
                <w:szCs w:val="18"/>
              </w:rPr>
            </w:pPr>
            <w:r w:rsidRPr="00256E7F">
              <w:rPr>
                <w:rFonts w:ascii="Geometr706 Md TL" w:hAnsi="Geometr706 Md TL"/>
                <w:sz w:val="18"/>
                <w:szCs w:val="18"/>
              </w:rPr>
              <w:t>Veikta bīstamo iekārtu uzraudzības pārbaude (pārbaužu skaits)</w:t>
            </w:r>
          </w:p>
        </w:tc>
        <w:tc>
          <w:tcPr>
            <w:tcW w:w="1912" w:type="dxa"/>
            <w:vAlign w:val="center"/>
          </w:tcPr>
          <w:p w:rsidR="00256E7F" w:rsidRPr="00256E7F" w:rsidRDefault="00256E7F" w:rsidP="00256E7F">
            <w:pPr>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50–100</w:t>
            </w:r>
          </w:p>
        </w:tc>
        <w:tc>
          <w:tcPr>
            <w:tcW w:w="1775" w:type="dxa"/>
            <w:vAlign w:val="center"/>
          </w:tcPr>
          <w:p w:rsidR="00256E7F" w:rsidRPr="00256E7F" w:rsidRDefault="00256E7F" w:rsidP="00256E7F">
            <w:pPr>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93</w:t>
            </w:r>
          </w:p>
        </w:tc>
      </w:tr>
      <w:tr w:rsidR="00256E7F" w:rsidRPr="00256E7F" w:rsidTr="00256E7F">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20" w:type="dxa"/>
          </w:tcPr>
          <w:p w:rsidR="00256E7F" w:rsidRPr="00256E7F" w:rsidRDefault="00256E7F" w:rsidP="00256E7F">
            <w:pPr>
              <w:spacing w:before="100" w:beforeAutospacing="1" w:after="100" w:afterAutospacing="1"/>
              <w:rPr>
                <w:rFonts w:ascii="Geometr706 Md TL" w:hAnsi="Geometr706 Md TL"/>
                <w:sz w:val="18"/>
                <w:szCs w:val="18"/>
              </w:rPr>
            </w:pPr>
            <w:r w:rsidRPr="00256E7F">
              <w:rPr>
                <w:rFonts w:ascii="Geometr706 Md TL" w:hAnsi="Geometr706 Md TL"/>
                <w:sz w:val="18"/>
                <w:szCs w:val="18"/>
              </w:rPr>
              <w:t>Veikta mērīšanas līdzekļu pārbaude (uzņēmumu skaits)</w:t>
            </w:r>
          </w:p>
        </w:tc>
        <w:tc>
          <w:tcPr>
            <w:tcW w:w="1912" w:type="dxa"/>
            <w:vAlign w:val="center"/>
          </w:tcPr>
          <w:p w:rsidR="00256E7F" w:rsidRPr="00256E7F" w:rsidRDefault="00256E7F" w:rsidP="00256E7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50–100</w:t>
            </w:r>
          </w:p>
        </w:tc>
        <w:tc>
          <w:tcPr>
            <w:tcW w:w="1775" w:type="dxa"/>
            <w:vAlign w:val="center"/>
          </w:tcPr>
          <w:p w:rsidR="00256E7F" w:rsidRPr="00256E7F" w:rsidRDefault="00256E7F" w:rsidP="00256E7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90</w:t>
            </w:r>
          </w:p>
        </w:tc>
      </w:tr>
      <w:tr w:rsidR="00256E7F" w:rsidRPr="00256E7F" w:rsidTr="00256E7F">
        <w:trPr>
          <w:cnfStyle w:val="000000010000" w:firstRow="0" w:lastRow="0" w:firstColumn="0" w:lastColumn="0" w:oddVBand="0" w:evenVBand="0" w:oddHBand="0" w:evenHBand="1"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20" w:type="dxa"/>
          </w:tcPr>
          <w:p w:rsidR="00256E7F" w:rsidRPr="00256E7F" w:rsidRDefault="00256E7F" w:rsidP="00256E7F">
            <w:pPr>
              <w:spacing w:before="100" w:beforeAutospacing="1" w:after="100" w:afterAutospacing="1"/>
              <w:rPr>
                <w:rFonts w:ascii="Geometr706 Md TL" w:hAnsi="Geometr706 Md TL"/>
                <w:sz w:val="18"/>
                <w:szCs w:val="18"/>
              </w:rPr>
            </w:pPr>
            <w:r w:rsidRPr="00256E7F">
              <w:rPr>
                <w:rFonts w:ascii="Geometr706 Md TL" w:hAnsi="Geometr706 Md TL"/>
                <w:sz w:val="18"/>
                <w:szCs w:val="18"/>
              </w:rPr>
              <w:t>Organizēti uzņēmēju informēšanas pasākumi (skaits)</w:t>
            </w:r>
          </w:p>
        </w:tc>
        <w:tc>
          <w:tcPr>
            <w:tcW w:w="1912" w:type="dxa"/>
            <w:vAlign w:val="center"/>
          </w:tcPr>
          <w:p w:rsidR="00256E7F" w:rsidRPr="00256E7F" w:rsidRDefault="00256E7F" w:rsidP="00256E7F">
            <w:pPr>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5–7</w:t>
            </w:r>
          </w:p>
        </w:tc>
        <w:tc>
          <w:tcPr>
            <w:tcW w:w="1775" w:type="dxa"/>
            <w:vAlign w:val="center"/>
          </w:tcPr>
          <w:p w:rsidR="00256E7F" w:rsidRPr="00256E7F" w:rsidRDefault="00256E7F" w:rsidP="00256E7F">
            <w:pPr>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6</w:t>
            </w:r>
          </w:p>
        </w:tc>
      </w:tr>
      <w:tr w:rsidR="00256E7F" w:rsidRPr="00256E7F" w:rsidTr="00256E7F">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5020" w:type="dxa"/>
          </w:tcPr>
          <w:p w:rsidR="00256E7F" w:rsidRPr="00256E7F" w:rsidRDefault="00256E7F" w:rsidP="00256E7F">
            <w:pPr>
              <w:spacing w:before="100" w:beforeAutospacing="1" w:after="100" w:afterAutospacing="1"/>
              <w:rPr>
                <w:rFonts w:ascii="Geometr706 Md TL" w:hAnsi="Geometr706 Md TL"/>
                <w:sz w:val="18"/>
                <w:szCs w:val="18"/>
              </w:rPr>
            </w:pPr>
            <w:r w:rsidRPr="00256E7F">
              <w:rPr>
                <w:rFonts w:ascii="Geometr706 Md TL" w:hAnsi="Geometr706 Md TL"/>
                <w:sz w:val="18"/>
                <w:szCs w:val="18"/>
              </w:rPr>
              <w:t>Izskatīti patērētāju iesniegumi un sūdzības (iesniegumu  un sūdzību skaits)</w:t>
            </w:r>
          </w:p>
        </w:tc>
        <w:tc>
          <w:tcPr>
            <w:tcW w:w="1912" w:type="dxa"/>
            <w:vAlign w:val="center"/>
          </w:tcPr>
          <w:p w:rsidR="00256E7F" w:rsidRPr="00256E7F" w:rsidRDefault="00256E7F" w:rsidP="00256E7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1500–1800</w:t>
            </w:r>
          </w:p>
        </w:tc>
        <w:tc>
          <w:tcPr>
            <w:tcW w:w="1775" w:type="dxa"/>
            <w:vAlign w:val="center"/>
          </w:tcPr>
          <w:p w:rsidR="00256E7F" w:rsidRPr="00256E7F" w:rsidRDefault="00256E7F" w:rsidP="00256E7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2244</w:t>
            </w:r>
          </w:p>
        </w:tc>
      </w:tr>
      <w:tr w:rsidR="00256E7F" w:rsidRPr="00256E7F" w:rsidTr="00256E7F">
        <w:trPr>
          <w:cnfStyle w:val="000000010000" w:firstRow="0" w:lastRow="0" w:firstColumn="0" w:lastColumn="0" w:oddVBand="0" w:evenVBand="0" w:oddHBand="0" w:evenHBand="1"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5020" w:type="dxa"/>
          </w:tcPr>
          <w:p w:rsidR="00256E7F" w:rsidRPr="00256E7F" w:rsidRDefault="00256E7F" w:rsidP="00256E7F">
            <w:pPr>
              <w:spacing w:before="100" w:beforeAutospacing="1" w:after="100" w:afterAutospacing="1"/>
              <w:rPr>
                <w:rFonts w:ascii="Geometr706 Md TL" w:hAnsi="Geometr706 Md TL"/>
                <w:sz w:val="18"/>
                <w:szCs w:val="18"/>
              </w:rPr>
            </w:pPr>
            <w:r w:rsidRPr="00256E7F">
              <w:rPr>
                <w:rFonts w:ascii="Geometr706 Md TL" w:hAnsi="Geometr706 Md TL"/>
                <w:sz w:val="18"/>
                <w:szCs w:val="18"/>
              </w:rPr>
              <w:t>Sniegtas konsultācijas patērētājiem un juridiskām personām (konsultāciju skaits)</w:t>
            </w:r>
          </w:p>
        </w:tc>
        <w:tc>
          <w:tcPr>
            <w:tcW w:w="1912" w:type="dxa"/>
            <w:vAlign w:val="center"/>
          </w:tcPr>
          <w:p w:rsidR="00256E7F" w:rsidRPr="00256E7F" w:rsidRDefault="00256E7F" w:rsidP="00256E7F">
            <w:pPr>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30 000–40 000</w:t>
            </w:r>
          </w:p>
        </w:tc>
        <w:tc>
          <w:tcPr>
            <w:tcW w:w="1775" w:type="dxa"/>
            <w:vAlign w:val="center"/>
          </w:tcPr>
          <w:p w:rsidR="00256E7F" w:rsidRPr="00256E7F" w:rsidRDefault="00256E7F" w:rsidP="00256E7F">
            <w:pPr>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35 026</w:t>
            </w:r>
          </w:p>
        </w:tc>
      </w:tr>
      <w:tr w:rsidR="00256E7F" w:rsidRPr="00256E7F" w:rsidTr="00256E7F">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5020" w:type="dxa"/>
          </w:tcPr>
          <w:p w:rsidR="00256E7F" w:rsidRPr="00256E7F" w:rsidRDefault="00256E7F" w:rsidP="00256E7F">
            <w:pPr>
              <w:spacing w:before="100" w:beforeAutospacing="1" w:after="100" w:afterAutospacing="1"/>
              <w:rPr>
                <w:rFonts w:ascii="Geometr706 Md TL" w:hAnsi="Geometr706 Md TL"/>
                <w:sz w:val="18"/>
                <w:szCs w:val="18"/>
              </w:rPr>
            </w:pPr>
            <w:r w:rsidRPr="00256E7F">
              <w:rPr>
                <w:rFonts w:ascii="Geometr706 Md TL" w:hAnsi="Geometr706 Md TL"/>
                <w:sz w:val="18"/>
                <w:szCs w:val="18"/>
              </w:rPr>
              <w:t>Īstenoti patērētāju ekonomisko interešu aizsardzības projekti (projektu skaits)</w:t>
            </w:r>
          </w:p>
        </w:tc>
        <w:tc>
          <w:tcPr>
            <w:tcW w:w="1912" w:type="dxa"/>
            <w:vAlign w:val="center"/>
          </w:tcPr>
          <w:p w:rsidR="00256E7F" w:rsidRPr="00256E7F" w:rsidRDefault="00256E7F" w:rsidP="00256E7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8–10</w:t>
            </w:r>
          </w:p>
        </w:tc>
        <w:tc>
          <w:tcPr>
            <w:tcW w:w="1775" w:type="dxa"/>
            <w:vAlign w:val="center"/>
          </w:tcPr>
          <w:p w:rsidR="00256E7F" w:rsidRPr="00256E7F" w:rsidRDefault="00256E7F" w:rsidP="00256E7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10</w:t>
            </w:r>
          </w:p>
        </w:tc>
      </w:tr>
      <w:tr w:rsidR="00256E7F" w:rsidRPr="00256E7F" w:rsidTr="00256E7F">
        <w:trPr>
          <w:cnfStyle w:val="000000010000" w:firstRow="0" w:lastRow="0" w:firstColumn="0" w:lastColumn="0" w:oddVBand="0" w:evenVBand="0" w:oddHBand="0" w:evenHBand="1"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5020" w:type="dxa"/>
          </w:tcPr>
          <w:p w:rsidR="00256E7F" w:rsidRPr="00256E7F" w:rsidRDefault="00256E7F" w:rsidP="00256E7F">
            <w:pPr>
              <w:spacing w:before="100" w:beforeAutospacing="1" w:after="100" w:afterAutospacing="1"/>
              <w:rPr>
                <w:rFonts w:ascii="Geometr706 Md TL" w:hAnsi="Geometr706 Md TL"/>
                <w:sz w:val="18"/>
                <w:szCs w:val="18"/>
              </w:rPr>
            </w:pPr>
            <w:r w:rsidRPr="00256E7F">
              <w:rPr>
                <w:rFonts w:ascii="Geometr706 Md TL" w:hAnsi="Geometr706 Md TL"/>
                <w:sz w:val="18"/>
                <w:szCs w:val="18"/>
              </w:rPr>
              <w:t>Izskatītas administratīvās lietas par patērētāju kolektīvo interešu pārkāpumiem reklāmas, e-komercijas un netaisnīgas komercprakses jomā (lietu skaits)</w:t>
            </w:r>
          </w:p>
        </w:tc>
        <w:tc>
          <w:tcPr>
            <w:tcW w:w="1912" w:type="dxa"/>
            <w:vAlign w:val="center"/>
          </w:tcPr>
          <w:p w:rsidR="00256E7F" w:rsidRPr="00256E7F" w:rsidRDefault="00256E7F" w:rsidP="00256E7F">
            <w:pPr>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175–300</w:t>
            </w:r>
          </w:p>
        </w:tc>
        <w:tc>
          <w:tcPr>
            <w:tcW w:w="1775" w:type="dxa"/>
            <w:vAlign w:val="center"/>
          </w:tcPr>
          <w:p w:rsidR="00256E7F" w:rsidRPr="00256E7F" w:rsidRDefault="00256E7F" w:rsidP="00256E7F">
            <w:pPr>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181</w:t>
            </w:r>
          </w:p>
        </w:tc>
      </w:tr>
      <w:tr w:rsidR="00256E7F" w:rsidRPr="00256E7F" w:rsidTr="00256E7F">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020" w:type="dxa"/>
          </w:tcPr>
          <w:p w:rsidR="00256E7F" w:rsidRPr="00256E7F" w:rsidRDefault="00256E7F" w:rsidP="00256E7F">
            <w:pPr>
              <w:spacing w:before="100" w:beforeAutospacing="1" w:after="100" w:afterAutospacing="1"/>
              <w:rPr>
                <w:rFonts w:ascii="Geometr706 Md TL" w:hAnsi="Geometr706 Md TL"/>
                <w:sz w:val="18"/>
                <w:szCs w:val="18"/>
              </w:rPr>
            </w:pPr>
            <w:r w:rsidRPr="00256E7F">
              <w:rPr>
                <w:rFonts w:ascii="Geometr706 Md TL" w:hAnsi="Geometr706 Md TL"/>
                <w:sz w:val="18"/>
                <w:szCs w:val="18"/>
              </w:rPr>
              <w:t xml:space="preserve">Izsniegto (pārreģistrēto) licenču skaits </w:t>
            </w:r>
            <w:proofErr w:type="spellStart"/>
            <w:r w:rsidRPr="00256E7F">
              <w:rPr>
                <w:rFonts w:ascii="Geometr706 Md TL" w:hAnsi="Geometr706 Md TL"/>
                <w:sz w:val="18"/>
                <w:szCs w:val="18"/>
              </w:rPr>
              <w:t>kredītdevējiem</w:t>
            </w:r>
            <w:proofErr w:type="spellEnd"/>
          </w:p>
        </w:tc>
        <w:tc>
          <w:tcPr>
            <w:tcW w:w="1912" w:type="dxa"/>
            <w:vAlign w:val="center"/>
          </w:tcPr>
          <w:p w:rsidR="00256E7F" w:rsidRPr="00256E7F" w:rsidRDefault="00256E7F" w:rsidP="00256E7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40–60</w:t>
            </w:r>
          </w:p>
        </w:tc>
        <w:tc>
          <w:tcPr>
            <w:tcW w:w="1775" w:type="dxa"/>
            <w:vAlign w:val="center"/>
          </w:tcPr>
          <w:p w:rsidR="00256E7F" w:rsidRPr="00256E7F" w:rsidRDefault="00256E7F" w:rsidP="00256E7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52</w:t>
            </w:r>
          </w:p>
        </w:tc>
      </w:tr>
      <w:tr w:rsidR="00256E7F" w:rsidRPr="00256E7F" w:rsidTr="00256E7F">
        <w:trPr>
          <w:cnfStyle w:val="000000010000" w:firstRow="0" w:lastRow="0" w:firstColumn="0" w:lastColumn="0" w:oddVBand="0" w:evenVBand="0" w:oddHBand="0" w:evenHBand="1"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5020" w:type="dxa"/>
          </w:tcPr>
          <w:p w:rsidR="00256E7F" w:rsidRPr="00256E7F" w:rsidRDefault="00256E7F" w:rsidP="00256E7F">
            <w:pPr>
              <w:spacing w:before="100" w:beforeAutospacing="1" w:after="100" w:afterAutospacing="1"/>
              <w:rPr>
                <w:rFonts w:ascii="Geometr706 Md TL" w:hAnsi="Geometr706 Md TL"/>
                <w:sz w:val="18"/>
                <w:szCs w:val="18"/>
              </w:rPr>
            </w:pPr>
            <w:r w:rsidRPr="00256E7F">
              <w:rPr>
                <w:rFonts w:ascii="Geometr706 Md TL" w:hAnsi="Geometr706 Md TL"/>
                <w:sz w:val="18"/>
                <w:szCs w:val="18"/>
              </w:rPr>
              <w:t xml:space="preserve">Izsniegto (pārreģistrēto) licenču skaits </w:t>
            </w:r>
            <w:r w:rsidRPr="00256E7F">
              <w:rPr>
                <w:rFonts w:ascii="Geometr706 Md TL" w:eastAsia="Calibri" w:hAnsi="Geometr706 Md TL"/>
                <w:sz w:val="18"/>
                <w:szCs w:val="18"/>
                <w:lang w:eastAsia="en-US"/>
              </w:rPr>
              <w:t>parāda ārpustiesas atgūšanas pakalpojumu sniedzējiem</w:t>
            </w:r>
          </w:p>
        </w:tc>
        <w:tc>
          <w:tcPr>
            <w:tcW w:w="1912" w:type="dxa"/>
            <w:vAlign w:val="center"/>
          </w:tcPr>
          <w:p w:rsidR="00256E7F" w:rsidRPr="00256E7F" w:rsidRDefault="00256E7F" w:rsidP="00256E7F">
            <w:pPr>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5–20</w:t>
            </w:r>
          </w:p>
        </w:tc>
        <w:tc>
          <w:tcPr>
            <w:tcW w:w="1775" w:type="dxa"/>
            <w:vAlign w:val="center"/>
          </w:tcPr>
          <w:p w:rsidR="00256E7F" w:rsidRPr="00256E7F" w:rsidRDefault="00256E7F" w:rsidP="00256E7F">
            <w:pPr>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22</w:t>
            </w:r>
          </w:p>
        </w:tc>
      </w:tr>
      <w:tr w:rsidR="00256E7F" w:rsidRPr="00256E7F" w:rsidTr="00256E7F">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5020" w:type="dxa"/>
          </w:tcPr>
          <w:p w:rsidR="00256E7F" w:rsidRPr="00256E7F" w:rsidRDefault="00256E7F" w:rsidP="00256E7F">
            <w:pPr>
              <w:spacing w:before="100" w:beforeAutospacing="1" w:after="100" w:afterAutospacing="1"/>
              <w:rPr>
                <w:rFonts w:ascii="Geometr706 Md TL" w:hAnsi="Geometr706 Md TL"/>
                <w:sz w:val="18"/>
                <w:szCs w:val="18"/>
              </w:rPr>
            </w:pPr>
            <w:r w:rsidRPr="00256E7F">
              <w:rPr>
                <w:rFonts w:ascii="Geometr706 Md TL" w:hAnsi="Geometr706 Md TL"/>
                <w:sz w:val="18"/>
                <w:szCs w:val="18"/>
              </w:rPr>
              <w:t>Veikta cenu norāžu pārbaude valūtas dubultās (EUR / LVL) atspoguļošanas periodā (pārbaužu skaits)</w:t>
            </w:r>
          </w:p>
        </w:tc>
        <w:tc>
          <w:tcPr>
            <w:tcW w:w="1912" w:type="dxa"/>
            <w:vAlign w:val="center"/>
          </w:tcPr>
          <w:p w:rsidR="00256E7F" w:rsidRPr="00256E7F" w:rsidRDefault="00256E7F" w:rsidP="00256E7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750–1200</w:t>
            </w:r>
          </w:p>
        </w:tc>
        <w:tc>
          <w:tcPr>
            <w:tcW w:w="1775" w:type="dxa"/>
            <w:vAlign w:val="center"/>
          </w:tcPr>
          <w:p w:rsidR="00256E7F" w:rsidRPr="00256E7F" w:rsidRDefault="00256E7F" w:rsidP="00256E7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Geometr706 Md TL" w:hAnsi="Geometr706 Md TL"/>
                <w:sz w:val="18"/>
                <w:szCs w:val="18"/>
              </w:rPr>
            </w:pPr>
            <w:r w:rsidRPr="00256E7F">
              <w:rPr>
                <w:rFonts w:ascii="Geometr706 Md TL" w:hAnsi="Geometr706 Md TL"/>
                <w:sz w:val="18"/>
                <w:szCs w:val="18"/>
              </w:rPr>
              <w:t>11 533</w:t>
            </w:r>
          </w:p>
        </w:tc>
      </w:tr>
    </w:tbl>
    <w:p w:rsidR="00256E7F" w:rsidRPr="00256E7F" w:rsidRDefault="00256E7F" w:rsidP="00256E7F">
      <w:pPr>
        <w:pStyle w:val="Heading2"/>
        <w:jc w:val="center"/>
        <w:rPr>
          <w:rFonts w:ascii="Geometr706 Md TL" w:hAnsi="Geometr706 Md TL" w:cs="Times New Roman"/>
          <w:noProof/>
          <w:color w:val="auto"/>
          <w:sz w:val="28"/>
          <w:szCs w:val="28"/>
        </w:rPr>
      </w:pPr>
      <w:bookmarkStart w:id="34" w:name="_Toc380143873"/>
      <w:bookmarkStart w:id="35" w:name="_Toc380147113"/>
      <w:bookmarkStart w:id="36" w:name="_Toc392836098"/>
      <w:r w:rsidRPr="00256E7F">
        <w:rPr>
          <w:rFonts w:ascii="Geometr706 Md TL" w:hAnsi="Geometr706 Md TL" w:cs="Times New Roman"/>
          <w:noProof/>
          <w:color w:val="auto"/>
          <w:sz w:val="28"/>
          <w:szCs w:val="28"/>
        </w:rPr>
        <w:lastRenderedPageBreak/>
        <w:t>2.3. PTAC darbības rezultāti 2013. gadā un to izvērtējums</w:t>
      </w:r>
      <w:bookmarkEnd w:id="34"/>
      <w:bookmarkEnd w:id="35"/>
      <w:bookmarkEnd w:id="36"/>
    </w:p>
    <w:p w:rsidR="00256E7F" w:rsidRPr="00256E7F" w:rsidRDefault="00256E7F" w:rsidP="003179A2">
      <w:pPr>
        <w:pStyle w:val="Heading3"/>
        <w:spacing w:after="240"/>
        <w:jc w:val="center"/>
        <w:rPr>
          <w:rFonts w:ascii="Geometr706 Md TL" w:hAnsi="Geometr706 Md TL"/>
        </w:rPr>
      </w:pPr>
      <w:bookmarkStart w:id="37" w:name="_2.3.1._Patērētāju_tiesību"/>
      <w:bookmarkStart w:id="38" w:name="_Toc380143874"/>
      <w:bookmarkStart w:id="39" w:name="_Toc380147114"/>
      <w:bookmarkStart w:id="40" w:name="_Toc392836099"/>
      <w:bookmarkEnd w:id="37"/>
      <w:r w:rsidRPr="00256E7F">
        <w:rPr>
          <w:rFonts w:ascii="Geometr706 Md TL" w:hAnsi="Geometr706 Md TL"/>
        </w:rPr>
        <w:t xml:space="preserve">2.3.1. Patērētāju tiesību uzraudzība, tostarp administratīvā sadarbība </w:t>
      </w:r>
      <w:bookmarkEnd w:id="38"/>
      <w:bookmarkEnd w:id="39"/>
      <w:r w:rsidR="00FB7347">
        <w:rPr>
          <w:rFonts w:ascii="Geometr706 Md TL" w:hAnsi="Geometr706 Md TL"/>
        </w:rPr>
        <w:t xml:space="preserve">Eiropas </w:t>
      </w:r>
      <w:bookmarkEnd w:id="40"/>
      <w:r w:rsidR="003179A2">
        <w:rPr>
          <w:rFonts w:ascii="Geometr706 Md TL" w:hAnsi="Geometr706 Md TL"/>
        </w:rPr>
        <w:t>Savienībā</w:t>
      </w:r>
    </w:p>
    <w:p w:rsidR="00256E7F" w:rsidRPr="00AA3E3F" w:rsidRDefault="00256E7F" w:rsidP="00256E7F">
      <w:pPr>
        <w:spacing w:line="240" w:lineRule="auto"/>
        <w:ind w:firstLine="720"/>
        <w:jc w:val="both"/>
        <w:rPr>
          <w:rFonts w:ascii="Geometr706 Md TL" w:hAnsi="Geometr706 Md TL"/>
          <w:sz w:val="20"/>
          <w:szCs w:val="20"/>
        </w:rPr>
      </w:pPr>
      <w:r w:rsidRPr="00AA3E3F">
        <w:rPr>
          <w:rFonts w:ascii="Geometr706 Md TL" w:hAnsi="Geometr706 Md TL"/>
          <w:sz w:val="20"/>
          <w:szCs w:val="20"/>
        </w:rPr>
        <w:t>Patērētāju tiesību uzraudzību PTAC veic, ievērojot noteiktās prioritātes, kā arī pārkāpumu būtiskumu un iespējamo ietekmi uz patērētāju ekonomiskajām interesēm. Šāda pieeja ir svarīga, lai PTAC varētu efektīvāk izmantot savus resursus un novērst pārkāpumus, kas rada būtiskāko kaitējumu patērētāju ekonomiskajām interesēm.</w:t>
      </w:r>
    </w:p>
    <w:p w:rsidR="00256E7F" w:rsidRPr="00AA3E3F" w:rsidRDefault="00256E7F" w:rsidP="00256E7F">
      <w:pPr>
        <w:tabs>
          <w:tab w:val="left" w:pos="567"/>
        </w:tabs>
        <w:spacing w:line="240" w:lineRule="auto"/>
        <w:rPr>
          <w:rFonts w:ascii="Geometr706 Md TL" w:eastAsia="Calibri" w:hAnsi="Geometr706 Md TL"/>
          <w:sz w:val="20"/>
          <w:szCs w:val="20"/>
        </w:rPr>
      </w:pPr>
      <w:r w:rsidRPr="00AA3E3F">
        <w:rPr>
          <w:rFonts w:ascii="Geometr706 Md TL" w:eastAsia="Calibri" w:hAnsi="Geometr706 Md TL"/>
          <w:sz w:val="20"/>
          <w:szCs w:val="20"/>
        </w:rPr>
        <w:tab/>
        <w:t>2013. gadā uzsākta 181 lieta par patērētāju kolektīvo interešu pārkāpumiem, tostarp komercprakses, reklāmas, e-komercijas un līgumu noteikumu jomā. Galvenokārt lietas uzsāktas par:</w:t>
      </w:r>
    </w:p>
    <w:p w:rsidR="00256E7F" w:rsidRPr="00AA3E3F" w:rsidRDefault="00256E7F" w:rsidP="00256E7F">
      <w:pPr>
        <w:numPr>
          <w:ilvl w:val="0"/>
          <w:numId w:val="6"/>
        </w:numPr>
        <w:tabs>
          <w:tab w:val="left" w:pos="567"/>
        </w:tabs>
        <w:spacing w:after="0" w:line="240" w:lineRule="auto"/>
        <w:jc w:val="both"/>
        <w:rPr>
          <w:rFonts w:ascii="Geometr706 Md TL" w:eastAsia="Calibri" w:hAnsi="Geometr706 Md TL"/>
          <w:sz w:val="20"/>
          <w:szCs w:val="20"/>
        </w:rPr>
      </w:pPr>
      <w:r w:rsidRPr="00AA3E3F">
        <w:rPr>
          <w:rFonts w:ascii="Geometr706 Md TL" w:eastAsia="Calibri" w:hAnsi="Geometr706 Md TL"/>
          <w:sz w:val="20"/>
          <w:szCs w:val="20"/>
        </w:rPr>
        <w:t>īstenoto komercpraksi un līguma noteikumiem kreditēšanas pakalpojumu jomā;</w:t>
      </w:r>
    </w:p>
    <w:p w:rsidR="00256E7F" w:rsidRPr="00AA3E3F" w:rsidRDefault="00256E7F" w:rsidP="00256E7F">
      <w:pPr>
        <w:numPr>
          <w:ilvl w:val="0"/>
          <w:numId w:val="6"/>
        </w:numPr>
        <w:tabs>
          <w:tab w:val="left" w:pos="567"/>
        </w:tabs>
        <w:spacing w:after="0" w:line="240" w:lineRule="auto"/>
        <w:jc w:val="both"/>
        <w:rPr>
          <w:rFonts w:ascii="Geometr706 Md TL" w:eastAsia="Calibri" w:hAnsi="Geometr706 Md TL"/>
          <w:sz w:val="20"/>
          <w:szCs w:val="20"/>
        </w:rPr>
      </w:pPr>
      <w:r w:rsidRPr="00AA3E3F">
        <w:rPr>
          <w:rFonts w:ascii="Geometr706 Md TL" w:eastAsia="Calibri" w:hAnsi="Geometr706 Md TL"/>
          <w:sz w:val="20"/>
          <w:szCs w:val="20"/>
        </w:rPr>
        <w:t>īstenoto komercpraksi, piedāvājot uztura bagātinātājus;</w:t>
      </w:r>
    </w:p>
    <w:p w:rsidR="00256E7F" w:rsidRPr="00AA3E3F" w:rsidRDefault="00256E7F" w:rsidP="00256E7F">
      <w:pPr>
        <w:numPr>
          <w:ilvl w:val="0"/>
          <w:numId w:val="6"/>
        </w:numPr>
        <w:tabs>
          <w:tab w:val="left" w:pos="567"/>
        </w:tabs>
        <w:spacing w:after="0" w:line="240" w:lineRule="auto"/>
        <w:ind w:left="567" w:hanging="207"/>
        <w:jc w:val="both"/>
        <w:rPr>
          <w:rFonts w:ascii="Geometr706 Md TL" w:eastAsia="Calibri" w:hAnsi="Geometr706 Md TL"/>
          <w:sz w:val="20"/>
          <w:szCs w:val="20"/>
        </w:rPr>
      </w:pPr>
      <w:r w:rsidRPr="00AA3E3F">
        <w:rPr>
          <w:rFonts w:ascii="Geometr706 Md TL" w:eastAsia="Calibri" w:hAnsi="Geometr706 Md TL"/>
          <w:sz w:val="20"/>
          <w:szCs w:val="20"/>
        </w:rPr>
        <w:t>īstenoto komercpraksi un līguma noteikumiem, piedāvājot kompleksos tūrisma pakalpojumus kolektīvās iepirkšanās portālos;</w:t>
      </w:r>
    </w:p>
    <w:p w:rsidR="00256E7F" w:rsidRPr="00AA3E3F" w:rsidRDefault="00256E7F" w:rsidP="00256E7F">
      <w:pPr>
        <w:numPr>
          <w:ilvl w:val="0"/>
          <w:numId w:val="6"/>
        </w:numPr>
        <w:tabs>
          <w:tab w:val="left" w:pos="567"/>
        </w:tabs>
        <w:spacing w:after="0" w:line="240" w:lineRule="auto"/>
        <w:jc w:val="both"/>
        <w:rPr>
          <w:rFonts w:ascii="Geometr706 Md TL" w:eastAsia="Calibri" w:hAnsi="Geometr706 Md TL"/>
          <w:sz w:val="20"/>
          <w:szCs w:val="20"/>
        </w:rPr>
      </w:pPr>
      <w:r w:rsidRPr="00AA3E3F">
        <w:rPr>
          <w:rFonts w:ascii="Geometr706 Md TL" w:eastAsia="Calibri" w:hAnsi="Geometr706 Md TL"/>
          <w:sz w:val="20"/>
          <w:szCs w:val="20"/>
        </w:rPr>
        <w:t>īstenoto komercpraksi parādu atgūšanas jomā;</w:t>
      </w:r>
    </w:p>
    <w:p w:rsidR="00256E7F" w:rsidRPr="00AA3E3F" w:rsidRDefault="00256E7F" w:rsidP="00256E7F">
      <w:pPr>
        <w:numPr>
          <w:ilvl w:val="0"/>
          <w:numId w:val="6"/>
        </w:numPr>
        <w:tabs>
          <w:tab w:val="left" w:pos="567"/>
        </w:tabs>
        <w:spacing w:after="0" w:line="240" w:lineRule="auto"/>
        <w:jc w:val="both"/>
        <w:rPr>
          <w:rFonts w:ascii="Geometr706 Md TL" w:eastAsia="Calibri" w:hAnsi="Geometr706 Md TL"/>
          <w:sz w:val="20"/>
          <w:szCs w:val="20"/>
        </w:rPr>
      </w:pPr>
      <w:r w:rsidRPr="00AA3E3F">
        <w:rPr>
          <w:rFonts w:ascii="Geometr706 Md TL" w:eastAsia="Calibri" w:hAnsi="Geometr706 Md TL"/>
          <w:sz w:val="20"/>
          <w:szCs w:val="20"/>
        </w:rPr>
        <w:t xml:space="preserve">īstenoto </w:t>
      </w:r>
      <w:proofErr w:type="spellStart"/>
      <w:r w:rsidRPr="00AA3E3F">
        <w:rPr>
          <w:rFonts w:ascii="Geometr706 Md TL" w:eastAsia="Calibri" w:hAnsi="Geometr706 Md TL"/>
          <w:sz w:val="20"/>
          <w:szCs w:val="20"/>
        </w:rPr>
        <w:t>komercpraksi</w:t>
      </w:r>
      <w:proofErr w:type="spellEnd"/>
      <w:r w:rsidRPr="00AA3E3F">
        <w:rPr>
          <w:rFonts w:ascii="Geometr706 Md TL" w:eastAsia="Calibri" w:hAnsi="Geometr706 Md TL"/>
          <w:sz w:val="20"/>
          <w:szCs w:val="20"/>
        </w:rPr>
        <w:t xml:space="preserve"> </w:t>
      </w:r>
      <w:proofErr w:type="spellStart"/>
      <w:r w:rsidRPr="00AA3E3F">
        <w:rPr>
          <w:rFonts w:ascii="Geometr706 Md TL" w:eastAsia="Calibri" w:hAnsi="Geometr706 Md TL"/>
          <w:sz w:val="20"/>
          <w:szCs w:val="20"/>
        </w:rPr>
        <w:t>aviopakalpojumu</w:t>
      </w:r>
      <w:proofErr w:type="spellEnd"/>
      <w:r w:rsidRPr="00AA3E3F">
        <w:rPr>
          <w:rFonts w:ascii="Geometr706 Md TL" w:eastAsia="Calibri" w:hAnsi="Geometr706 Md TL"/>
          <w:sz w:val="20"/>
          <w:szCs w:val="20"/>
        </w:rPr>
        <w:t xml:space="preserve"> pārdošanas jomā;</w:t>
      </w:r>
    </w:p>
    <w:p w:rsidR="00256E7F" w:rsidRPr="00AA3E3F" w:rsidRDefault="00256E7F" w:rsidP="00256E7F">
      <w:pPr>
        <w:numPr>
          <w:ilvl w:val="0"/>
          <w:numId w:val="6"/>
        </w:numPr>
        <w:tabs>
          <w:tab w:val="left" w:pos="567"/>
        </w:tabs>
        <w:spacing w:after="0" w:line="240" w:lineRule="auto"/>
        <w:jc w:val="both"/>
        <w:rPr>
          <w:rFonts w:ascii="Geometr706 Md TL" w:eastAsia="Calibri" w:hAnsi="Geometr706 Md TL"/>
          <w:sz w:val="20"/>
          <w:szCs w:val="20"/>
        </w:rPr>
      </w:pPr>
      <w:r w:rsidRPr="00AA3E3F">
        <w:rPr>
          <w:rFonts w:ascii="Geometr706 Md TL" w:eastAsia="Calibri" w:hAnsi="Geometr706 Md TL"/>
          <w:sz w:val="20"/>
          <w:szCs w:val="20"/>
        </w:rPr>
        <w:t>īstenoto komercpraksi un līguma noteikumiem autoskolu pakalpojumu jomā;</w:t>
      </w:r>
    </w:p>
    <w:p w:rsidR="00256E7F" w:rsidRPr="00AA3E3F" w:rsidRDefault="00256E7F" w:rsidP="00256E7F">
      <w:pPr>
        <w:numPr>
          <w:ilvl w:val="0"/>
          <w:numId w:val="6"/>
        </w:numPr>
        <w:tabs>
          <w:tab w:val="left" w:pos="567"/>
        </w:tabs>
        <w:spacing w:after="0" w:line="240" w:lineRule="auto"/>
        <w:jc w:val="both"/>
        <w:rPr>
          <w:rFonts w:ascii="Geometr706 Md TL" w:eastAsia="Calibri" w:hAnsi="Geometr706 Md TL"/>
          <w:sz w:val="20"/>
          <w:szCs w:val="20"/>
        </w:rPr>
      </w:pPr>
      <w:r w:rsidRPr="00AA3E3F">
        <w:rPr>
          <w:rFonts w:ascii="Geometr706 Md TL" w:eastAsia="Calibri" w:hAnsi="Geometr706 Md TL"/>
          <w:sz w:val="20"/>
          <w:szCs w:val="20"/>
        </w:rPr>
        <w:t>cenu salīdzināšanas mājaslapās īstenoto komercpraksi;</w:t>
      </w:r>
    </w:p>
    <w:p w:rsidR="00256E7F" w:rsidRPr="00AA3E3F" w:rsidRDefault="00256E7F" w:rsidP="00256E7F">
      <w:pPr>
        <w:numPr>
          <w:ilvl w:val="0"/>
          <w:numId w:val="6"/>
        </w:numPr>
        <w:tabs>
          <w:tab w:val="left" w:pos="567"/>
        </w:tabs>
        <w:spacing w:after="0" w:line="240" w:lineRule="auto"/>
        <w:ind w:left="567" w:hanging="207"/>
        <w:jc w:val="both"/>
        <w:rPr>
          <w:rFonts w:ascii="Geometr706 Md TL" w:eastAsia="Calibri" w:hAnsi="Geometr706 Md TL"/>
          <w:sz w:val="20"/>
          <w:szCs w:val="20"/>
        </w:rPr>
      </w:pPr>
      <w:r w:rsidRPr="00AA3E3F">
        <w:rPr>
          <w:rFonts w:ascii="Geometr706 Md TL" w:eastAsia="Calibri" w:hAnsi="Geometr706 Md TL"/>
          <w:sz w:val="20"/>
          <w:szCs w:val="20"/>
        </w:rPr>
        <w:t>īstenoto komercpraksi un līguma noteikumiem sadzīves atkritumu apsaimniekošanas jomā;</w:t>
      </w:r>
    </w:p>
    <w:p w:rsidR="00256E7F" w:rsidRPr="00AA3E3F" w:rsidRDefault="00256E7F" w:rsidP="00256E7F">
      <w:pPr>
        <w:numPr>
          <w:ilvl w:val="0"/>
          <w:numId w:val="6"/>
        </w:numPr>
        <w:tabs>
          <w:tab w:val="left" w:pos="567"/>
        </w:tabs>
        <w:spacing w:after="0" w:line="240" w:lineRule="auto"/>
        <w:jc w:val="both"/>
        <w:rPr>
          <w:rFonts w:ascii="Geometr706 Md TL" w:eastAsia="Calibri" w:hAnsi="Geometr706 Md TL"/>
          <w:sz w:val="20"/>
          <w:szCs w:val="20"/>
        </w:rPr>
      </w:pPr>
      <w:r w:rsidRPr="00AA3E3F">
        <w:rPr>
          <w:rFonts w:ascii="Geometr706 Md TL" w:eastAsia="Calibri" w:hAnsi="Geometr706 Md TL"/>
          <w:sz w:val="20"/>
          <w:szCs w:val="20"/>
        </w:rPr>
        <w:t>īstenoto komercpraksi eiro ieviešanas jomā.</w:t>
      </w:r>
    </w:p>
    <w:p w:rsidR="00AA3E3F" w:rsidRDefault="00AA3E3F" w:rsidP="00256E7F">
      <w:pPr>
        <w:tabs>
          <w:tab w:val="left" w:pos="567"/>
        </w:tabs>
        <w:spacing w:line="240" w:lineRule="auto"/>
        <w:rPr>
          <w:rFonts w:ascii="Geometr706 Md TL" w:eastAsia="Calibri" w:hAnsi="Geometr706 Md TL"/>
          <w:sz w:val="20"/>
          <w:szCs w:val="20"/>
        </w:rPr>
      </w:pPr>
    </w:p>
    <w:p w:rsidR="00256E7F" w:rsidRPr="00AA3E3F" w:rsidRDefault="00256E7F" w:rsidP="00256E7F">
      <w:pPr>
        <w:tabs>
          <w:tab w:val="left" w:pos="567"/>
        </w:tabs>
        <w:spacing w:line="240" w:lineRule="auto"/>
        <w:rPr>
          <w:rFonts w:ascii="Geometr706 Md TL" w:eastAsia="Calibri" w:hAnsi="Geometr706 Md TL"/>
          <w:sz w:val="20"/>
          <w:szCs w:val="20"/>
        </w:rPr>
      </w:pPr>
      <w:r w:rsidRPr="00AA3E3F">
        <w:rPr>
          <w:rFonts w:ascii="Geometr706 Md TL" w:eastAsia="Calibri" w:hAnsi="Geometr706 Md TL"/>
          <w:sz w:val="20"/>
          <w:szCs w:val="20"/>
        </w:rPr>
        <w:t>Uzsākto lietu ietvaros:</w:t>
      </w:r>
    </w:p>
    <w:p w:rsidR="00256E7F" w:rsidRPr="00AA3E3F" w:rsidRDefault="00256E7F" w:rsidP="00256E7F">
      <w:pPr>
        <w:numPr>
          <w:ilvl w:val="0"/>
          <w:numId w:val="5"/>
        </w:numPr>
        <w:spacing w:after="0" w:line="240" w:lineRule="auto"/>
        <w:ind w:hanging="294"/>
        <w:jc w:val="both"/>
        <w:rPr>
          <w:rFonts w:ascii="Geometr706 Md TL" w:eastAsia="Calibri" w:hAnsi="Geometr706 Md TL"/>
          <w:sz w:val="20"/>
          <w:szCs w:val="20"/>
        </w:rPr>
      </w:pPr>
      <w:r w:rsidRPr="00AA3E3F">
        <w:rPr>
          <w:rFonts w:ascii="Geometr706 Md TL" w:eastAsia="Calibri" w:hAnsi="Geometr706 Md TL"/>
          <w:sz w:val="20"/>
          <w:szCs w:val="20"/>
        </w:rPr>
        <w:t>81 gadījumā pārkāpējiem izteikts ierosinājums labprātīgi novērst konstatētos pārkāpumus, lielākajā daļā gadījumu (77 jeb 95 %) pārkāpumi labprātīgi novērsti;</w:t>
      </w:r>
    </w:p>
    <w:p w:rsidR="00256E7F" w:rsidRPr="00AA3E3F" w:rsidRDefault="00256E7F" w:rsidP="00256E7F">
      <w:pPr>
        <w:numPr>
          <w:ilvl w:val="0"/>
          <w:numId w:val="5"/>
        </w:numPr>
        <w:spacing w:after="0" w:line="240" w:lineRule="auto"/>
        <w:ind w:hanging="294"/>
        <w:jc w:val="both"/>
        <w:rPr>
          <w:rFonts w:ascii="Geometr706 Md TL" w:eastAsia="Calibri" w:hAnsi="Geometr706 Md TL"/>
          <w:sz w:val="20"/>
          <w:szCs w:val="20"/>
        </w:rPr>
      </w:pPr>
      <w:r w:rsidRPr="00AA3E3F">
        <w:rPr>
          <w:rFonts w:ascii="Geometr706 Md TL" w:eastAsia="Calibri" w:hAnsi="Geometr706 Md TL"/>
          <w:sz w:val="20"/>
          <w:szCs w:val="20"/>
        </w:rPr>
        <w:t>20 gadījumos pieņemti saistoši lēmumi par patērētāju kolektīvo interešu pārkāpumiem, t. sk. 8 lēmumi par pārkāpumu pārtraukšanu un 12 lēmumu par administratīvā naudas soda piemērošanu saistībā ar normatīvajiem aktiem neatbilstošu reklāmu (5), negodīgu komercpraksi (3), klienta iemaksātās naudas drošības garantijas nenodrošināšanu (1), darbību bez licences patērētāju kreditēšanas jomā (2), PTAC kolektīvo interešu lēmuma nepildīšanu (1); 9 lēmumi pieņemti par administratīvā soda piemērošanu uzņēmumam, kas nav sniedzis pieprasīto informāciju PTAC;</w:t>
      </w:r>
    </w:p>
    <w:p w:rsidR="00256E7F" w:rsidRPr="00AA3E3F" w:rsidRDefault="00256E7F" w:rsidP="00256E7F">
      <w:pPr>
        <w:numPr>
          <w:ilvl w:val="0"/>
          <w:numId w:val="5"/>
        </w:numPr>
        <w:spacing w:after="0" w:line="240" w:lineRule="auto"/>
        <w:ind w:hanging="294"/>
        <w:jc w:val="both"/>
        <w:rPr>
          <w:rFonts w:ascii="Geometr706 Md TL" w:eastAsia="Calibri" w:hAnsi="Geometr706 Md TL"/>
          <w:sz w:val="20"/>
          <w:szCs w:val="20"/>
        </w:rPr>
      </w:pPr>
      <w:r w:rsidRPr="00AA3E3F">
        <w:rPr>
          <w:rFonts w:ascii="Geometr706 Md TL" w:eastAsia="Calibri" w:hAnsi="Geometr706 Md TL"/>
          <w:sz w:val="20"/>
          <w:szCs w:val="20"/>
        </w:rPr>
        <w:t>125 gadījumos pieņemts lēmums par lietas izbeigšanu, tostarp aicinot pārkāpēju turpmāk ievērot normatīvo aktu prasības;</w:t>
      </w:r>
    </w:p>
    <w:p w:rsidR="00256E7F" w:rsidRPr="00AA3E3F" w:rsidRDefault="00256E7F" w:rsidP="00256E7F">
      <w:pPr>
        <w:numPr>
          <w:ilvl w:val="0"/>
          <w:numId w:val="5"/>
        </w:numPr>
        <w:spacing w:after="0" w:line="240" w:lineRule="auto"/>
        <w:ind w:hanging="294"/>
        <w:jc w:val="both"/>
        <w:rPr>
          <w:rFonts w:ascii="Geometr706 Md TL" w:eastAsia="Calibri" w:hAnsi="Geometr706 Md TL"/>
          <w:sz w:val="20"/>
          <w:szCs w:val="20"/>
        </w:rPr>
      </w:pPr>
      <w:r w:rsidRPr="00AA3E3F">
        <w:rPr>
          <w:rFonts w:ascii="Geometr706 Md TL" w:eastAsia="Calibri" w:hAnsi="Geometr706 Md TL"/>
          <w:sz w:val="20"/>
          <w:szCs w:val="20"/>
        </w:rPr>
        <w:t>6 lietās, veicot pārrunas ar uzņēmējiem, tika panākts, ka tie piedāvā patērētājiem labvēlīgus risinājumus un (vai) nekavējoties novērš pārkāpumus;</w:t>
      </w:r>
    </w:p>
    <w:p w:rsidR="00256E7F" w:rsidRDefault="00256E7F" w:rsidP="00256E7F">
      <w:pPr>
        <w:numPr>
          <w:ilvl w:val="0"/>
          <w:numId w:val="5"/>
        </w:numPr>
        <w:spacing w:after="0" w:line="240" w:lineRule="auto"/>
        <w:ind w:hanging="294"/>
        <w:jc w:val="both"/>
        <w:rPr>
          <w:rFonts w:ascii="Geometr706 Md TL" w:eastAsia="Calibri" w:hAnsi="Geometr706 Md TL"/>
          <w:sz w:val="20"/>
          <w:szCs w:val="20"/>
        </w:rPr>
      </w:pPr>
      <w:r w:rsidRPr="00AA3E3F">
        <w:rPr>
          <w:rFonts w:ascii="Geometr706 Md TL" w:eastAsia="Calibri" w:hAnsi="Geometr706 Md TL"/>
          <w:sz w:val="20"/>
          <w:szCs w:val="20"/>
        </w:rPr>
        <w:t>1 lietā pēc PTAC ierosinājuma slēgta komplekso tūrisma pakalpojumu sniedzēja mājaslapa, kurā tika piedāvāti pakalpojumi, nenodrošinot klienta iemaksātās naudas drošības garantiju.</w:t>
      </w:r>
    </w:p>
    <w:p w:rsidR="00AA3E3F" w:rsidRPr="00AA3E3F" w:rsidRDefault="00AA3E3F" w:rsidP="00AA3E3F">
      <w:pPr>
        <w:spacing w:after="0" w:line="240" w:lineRule="auto"/>
        <w:ind w:left="720"/>
        <w:jc w:val="both"/>
        <w:rPr>
          <w:rFonts w:ascii="Geometr706 Md TL" w:eastAsia="Calibri" w:hAnsi="Geometr706 Md TL"/>
          <w:sz w:val="20"/>
          <w:szCs w:val="20"/>
        </w:rPr>
      </w:pPr>
    </w:p>
    <w:p w:rsidR="00256E7F" w:rsidRPr="00AA3E3F" w:rsidRDefault="00256E7F" w:rsidP="003179A2">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b/>
          <w:sz w:val="20"/>
          <w:szCs w:val="20"/>
        </w:rPr>
        <w:tab/>
      </w:r>
      <w:r w:rsidRPr="00AA3E3F">
        <w:rPr>
          <w:rFonts w:ascii="Geometr706 Md TL" w:eastAsia="Calibri" w:hAnsi="Geometr706 Md TL"/>
          <w:sz w:val="20"/>
          <w:szCs w:val="20"/>
        </w:rPr>
        <w:t>Lielākajā daļā lietu PTAC ir panācis labprātīgu pārkāpumu novēršanu, kas ir visefektīvākais pārkāpumu novēršanas veids, savukārt pieņemto lēmumu skaits ir būtiski samazinājies gan 2012., gan arī 2013. gadā.</w:t>
      </w:r>
    </w:p>
    <w:p w:rsidR="00256E7F" w:rsidRPr="00AA3E3F" w:rsidRDefault="00256E7F" w:rsidP="00256E7F">
      <w:pPr>
        <w:tabs>
          <w:tab w:val="left" w:pos="567"/>
        </w:tabs>
        <w:spacing w:line="240" w:lineRule="auto"/>
        <w:rPr>
          <w:rFonts w:ascii="Geometr706 Md TL" w:eastAsia="Calibri" w:hAnsi="Geometr706 Md TL"/>
          <w:sz w:val="20"/>
          <w:szCs w:val="20"/>
        </w:rPr>
      </w:pPr>
    </w:p>
    <w:p w:rsidR="00256E7F" w:rsidRPr="00256E7F" w:rsidRDefault="00256E7F" w:rsidP="00256E7F">
      <w:pPr>
        <w:tabs>
          <w:tab w:val="left" w:pos="567"/>
        </w:tabs>
        <w:spacing w:line="240" w:lineRule="auto"/>
        <w:jc w:val="center"/>
        <w:rPr>
          <w:rFonts w:ascii="Geometr706 Md TL" w:eastAsia="Calibri" w:hAnsi="Geometr706 Md TL"/>
        </w:rPr>
      </w:pPr>
      <w:r w:rsidRPr="00256E7F">
        <w:rPr>
          <w:rFonts w:ascii="Geometr706 Md TL" w:eastAsia="Calibri" w:hAnsi="Geometr706 Md TL"/>
          <w:noProof/>
          <w:lang w:eastAsia="lv-LV"/>
        </w:rPr>
        <w:lastRenderedPageBreak/>
        <w:drawing>
          <wp:inline distT="0" distB="0" distL="0" distR="0" wp14:anchorId="717C2E26" wp14:editId="4403507B">
            <wp:extent cx="3609340" cy="2476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9340" cy="2476500"/>
                    </a:xfrm>
                    <a:prstGeom prst="rect">
                      <a:avLst/>
                    </a:prstGeom>
                    <a:noFill/>
                  </pic:spPr>
                </pic:pic>
              </a:graphicData>
            </a:graphic>
          </wp:inline>
        </w:drawing>
      </w:r>
    </w:p>
    <w:p w:rsidR="00256E7F" w:rsidRPr="00AA3E3F" w:rsidRDefault="00256E7F" w:rsidP="003179A2">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Lai uzlabotu patērētāju tiesību ievērošanu konkrētā nozarē, PTAC 2013. gadā ir izstrādājis un apstiprinājis vairākas vadlīnijas patērētāju kreditēšanas jomā un kolektīvās iepirkšanās jomā.</w:t>
      </w:r>
    </w:p>
    <w:p w:rsidR="00256E7F" w:rsidRPr="00AA3E3F" w:rsidRDefault="00256E7F" w:rsidP="00256E7F">
      <w:pPr>
        <w:tabs>
          <w:tab w:val="left" w:pos="567"/>
        </w:tabs>
        <w:spacing w:line="240" w:lineRule="auto"/>
        <w:rPr>
          <w:rFonts w:ascii="Geometr706 Md TL" w:eastAsia="Calibri" w:hAnsi="Geometr706 Md TL"/>
          <w:b/>
          <w:sz w:val="20"/>
          <w:szCs w:val="20"/>
        </w:rPr>
      </w:pPr>
      <w:r w:rsidRPr="00AA3E3F">
        <w:rPr>
          <w:rFonts w:ascii="Geometr706 Md TL" w:eastAsia="Calibri" w:hAnsi="Geometr706 Md TL"/>
          <w:b/>
          <w:sz w:val="20"/>
          <w:szCs w:val="20"/>
        </w:rPr>
        <w:t>Lietu un labprātīgo risinājumu piemēri:</w:t>
      </w:r>
    </w:p>
    <w:p w:rsidR="00256E7F" w:rsidRPr="00AA3E3F" w:rsidRDefault="00256E7F" w:rsidP="00256E7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2012. gadā PTAC konstatēja, ka UAB „</w:t>
      </w:r>
      <w:proofErr w:type="spellStart"/>
      <w:r w:rsidRPr="00AA3E3F">
        <w:rPr>
          <w:rFonts w:ascii="Geometr706 Md TL" w:eastAsia="Calibri" w:hAnsi="Geometr706 Md TL"/>
          <w:sz w:val="20"/>
          <w:szCs w:val="20"/>
        </w:rPr>
        <w:t>Gelvora</w:t>
      </w:r>
      <w:proofErr w:type="spellEnd"/>
      <w:r w:rsidRPr="00AA3E3F">
        <w:rPr>
          <w:rFonts w:ascii="Geometr706 Md TL" w:eastAsia="Calibri" w:hAnsi="Geometr706 Md TL"/>
          <w:sz w:val="20"/>
          <w:szCs w:val="20"/>
        </w:rPr>
        <w:t>” attiecībā pret patērētājiem nekorekti interpretējis AS „GE Money” aizdevuma līgumā ietverto noteikumu par līgumsoda aprēķināšanas metodi maksājumu kavējumu gadījumā. Parādu piedziņas kompānija aprēķināja līgumsodu pēc līguma laušanas un visas atlikušās parāda summas pieprasīšanas, kas nebija noteikts AS „GE Money” līgumā. Pēc sarunām ar PTAC parādu piedzinējs 2013. gada februārī apņēmās veikt korektīvās darbības situācijas risināšanai: veikt līgumsodu pārrēķinus; turpmāk piemērot līgumsodu saskaņā ar aizdevumu līgumos noteiktajiem noteikumiem.</w:t>
      </w:r>
    </w:p>
    <w:p w:rsidR="00256E7F" w:rsidRPr="00AA3E3F" w:rsidRDefault="00256E7F" w:rsidP="00256E7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 xml:space="preserve">PTAC konstatēja, ka SIA „Igo Japiņa sporta aģentūra”, organizējot SEB Latvijas kalnu divriteņu maratonu, pasākuma nolikumā ir paredzējusi, ka, piesakoties maratonam interneta vietnē </w:t>
      </w:r>
      <w:proofErr w:type="spellStart"/>
      <w:r w:rsidRPr="00AA3E3F">
        <w:rPr>
          <w:rFonts w:ascii="Geometr706 Md TL" w:eastAsia="Calibri" w:hAnsi="Geometr706 Md TL"/>
          <w:i/>
          <w:sz w:val="20"/>
          <w:szCs w:val="20"/>
        </w:rPr>
        <w:t>www.velo.lv</w:t>
      </w:r>
      <w:proofErr w:type="spellEnd"/>
      <w:r w:rsidRPr="00AA3E3F">
        <w:rPr>
          <w:rFonts w:ascii="Geometr706 Md TL" w:eastAsia="Calibri" w:hAnsi="Geometr706 Md TL"/>
          <w:sz w:val="20"/>
          <w:szCs w:val="20"/>
        </w:rPr>
        <w:t>, konkrētā laika periodā AS „SEB banka” klientiem pienākas 50 % atlaide. Pirms akcijas perioda beigām minētā akcija tika atcelta. Pēc PTAC iejaukšanās SIA „Igo Japiņa sporta aģentūra” atjaunoja sākotnēji paredzēto atlaidi, kā arī atmaksāja pārmaksāto naudas summu patērētājiem, kuri pieteicās maratonam un nesaņēma viņiem pienākošos atlaidi.</w:t>
      </w:r>
    </w:p>
    <w:p w:rsidR="00256E7F" w:rsidRPr="00AA3E3F" w:rsidRDefault="00256E7F" w:rsidP="00256E7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„EM </w:t>
      </w:r>
      <w:proofErr w:type="spellStart"/>
      <w:r w:rsidRPr="00AA3E3F">
        <w:rPr>
          <w:rFonts w:ascii="Geometr706 Md TL" w:eastAsia="Calibri" w:hAnsi="Geometr706 Md TL"/>
          <w:sz w:val="20"/>
          <w:szCs w:val="20"/>
        </w:rPr>
        <w:t>Concert</w:t>
      </w:r>
      <w:proofErr w:type="spellEnd"/>
      <w:r w:rsidRPr="00AA3E3F">
        <w:rPr>
          <w:rFonts w:ascii="Geometr706 Md TL" w:eastAsia="Calibri" w:hAnsi="Geometr706 Md TL"/>
          <w:sz w:val="20"/>
          <w:szCs w:val="20"/>
        </w:rPr>
        <w:t> </w:t>
      </w:r>
      <w:proofErr w:type="spellStart"/>
      <w:r w:rsidRPr="00AA3E3F">
        <w:rPr>
          <w:rFonts w:ascii="Geometr706 Md TL" w:eastAsia="Calibri" w:hAnsi="Geometr706 Md TL"/>
          <w:sz w:val="20"/>
          <w:szCs w:val="20"/>
        </w:rPr>
        <w:t>Ltd</w:t>
      </w:r>
      <w:proofErr w:type="spellEnd"/>
      <w:r w:rsidRPr="00AA3E3F">
        <w:rPr>
          <w:rFonts w:ascii="Geometr706 Md TL" w:eastAsia="Calibri" w:hAnsi="Geometr706 Md TL"/>
          <w:sz w:val="20"/>
          <w:szCs w:val="20"/>
        </w:rPr>
        <w:t>” pārstāvniecība Latvijā organizēja grupas „</w:t>
      </w:r>
      <w:proofErr w:type="spellStart"/>
      <w:r w:rsidRPr="00AA3E3F">
        <w:rPr>
          <w:rFonts w:ascii="Geometr706 Md TL" w:eastAsia="Calibri" w:hAnsi="Geometr706 Md TL"/>
          <w:sz w:val="20"/>
          <w:szCs w:val="20"/>
        </w:rPr>
        <w:t>The</w:t>
      </w:r>
      <w:proofErr w:type="spellEnd"/>
      <w:r w:rsidRPr="00AA3E3F">
        <w:rPr>
          <w:rFonts w:ascii="Geometr706 Md TL" w:eastAsia="Calibri" w:hAnsi="Geometr706 Md TL"/>
          <w:sz w:val="20"/>
          <w:szCs w:val="20"/>
        </w:rPr>
        <w:t xml:space="preserve"> </w:t>
      </w:r>
      <w:proofErr w:type="spellStart"/>
      <w:r w:rsidRPr="00AA3E3F">
        <w:rPr>
          <w:rFonts w:ascii="Geometr706 Md TL" w:eastAsia="Calibri" w:hAnsi="Geometr706 Md TL"/>
          <w:sz w:val="20"/>
          <w:szCs w:val="20"/>
        </w:rPr>
        <w:t>Killers</w:t>
      </w:r>
      <w:proofErr w:type="spellEnd"/>
      <w:r w:rsidRPr="00AA3E3F">
        <w:rPr>
          <w:rFonts w:ascii="Geometr706 Md TL" w:eastAsia="Calibri" w:hAnsi="Geometr706 Md TL"/>
          <w:sz w:val="20"/>
          <w:szCs w:val="20"/>
        </w:rPr>
        <w:t>” koncertu Mežaparka lielajā estrādē Rīgā 2013. gada 26. jūnijā. Iesildošās grupas „</w:t>
      </w:r>
      <w:proofErr w:type="spellStart"/>
      <w:r w:rsidRPr="00AA3E3F">
        <w:rPr>
          <w:rFonts w:ascii="Geometr706 Md TL" w:eastAsia="Calibri" w:hAnsi="Geometr706 Md TL"/>
          <w:sz w:val="20"/>
          <w:szCs w:val="20"/>
        </w:rPr>
        <w:t>James</w:t>
      </w:r>
      <w:proofErr w:type="spellEnd"/>
      <w:r w:rsidRPr="00AA3E3F">
        <w:rPr>
          <w:rFonts w:ascii="Geometr706 Md TL" w:eastAsia="Calibri" w:hAnsi="Geometr706 Md TL"/>
          <w:sz w:val="20"/>
          <w:szCs w:val="20"/>
        </w:rPr>
        <w:t>” koncerta apmeklētājiem, kuriem bija pretenzijas par grupas „</w:t>
      </w:r>
      <w:proofErr w:type="spellStart"/>
      <w:r w:rsidRPr="00AA3E3F">
        <w:rPr>
          <w:rFonts w:ascii="Geometr706 Md TL" w:eastAsia="Calibri" w:hAnsi="Geometr706 Md TL"/>
          <w:sz w:val="20"/>
          <w:szCs w:val="20"/>
        </w:rPr>
        <w:t>James</w:t>
      </w:r>
      <w:proofErr w:type="spellEnd"/>
      <w:r w:rsidRPr="00AA3E3F">
        <w:rPr>
          <w:rFonts w:ascii="Geometr706 Md TL" w:eastAsia="Calibri" w:hAnsi="Geometr706 Md TL"/>
          <w:sz w:val="20"/>
          <w:szCs w:val="20"/>
        </w:rPr>
        <w:t>” nenotikušo koncertu, kompensēja nesniegtā pakalpojuma daļu, no iegādātās biļetes cenas atmaksājot kompensāciju 20 % apmērā.</w:t>
      </w:r>
    </w:p>
    <w:p w:rsidR="00256E7F" w:rsidRPr="00AA3E3F" w:rsidRDefault="00256E7F" w:rsidP="00256E7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2013. gada vidū AS „SEB banka” konstatēja kredīta likmju nosaukumu kļūdu kredītu līgumos ar ilgtermiņa eiro, ASV dolāru un Šveices franku procentu likmēm. Kļūdas rezultātā no patērētājiem bija prasīta un saņemta kredīta procentu maksa neatbilstoši līguma nosacījumiem. Sarunās tika panākts patērētājiem maksimāli labvēlīgs risinājums, un visiem (kopumā nedaudz vairāk nekā 3800) kļūdas seku skartajiem patērētājiem AS „SEB banka” apņēmās izmaksāt kompensāciju.</w:t>
      </w:r>
    </w:p>
    <w:p w:rsidR="00256E7F" w:rsidRPr="00AA3E3F" w:rsidRDefault="00256E7F" w:rsidP="00256E7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PTAC konstatēja, ka plaši tiek izplatītas elektronisko sakaru pakalpojumu sniedzēja SIA „Bite Latvija” reklāmas, kurās patērētājiem piedāvāts izmantot navigācijas sistēmu „</w:t>
      </w:r>
      <w:proofErr w:type="spellStart"/>
      <w:r w:rsidRPr="00AA3E3F">
        <w:rPr>
          <w:rFonts w:ascii="Geometr706 Md TL" w:eastAsia="Calibri" w:hAnsi="Geometr706 Md TL"/>
          <w:sz w:val="20"/>
          <w:szCs w:val="20"/>
        </w:rPr>
        <w:t>Waze</w:t>
      </w:r>
      <w:proofErr w:type="spellEnd"/>
      <w:r w:rsidRPr="00AA3E3F">
        <w:rPr>
          <w:rFonts w:ascii="Geometr706 Md TL" w:eastAsia="Calibri" w:hAnsi="Geometr706 Md TL"/>
          <w:sz w:val="20"/>
          <w:szCs w:val="20"/>
        </w:rPr>
        <w:t xml:space="preserve">” bez maksas. Pārbaudot reklāmā sniegto informāciju un pa tālruni sazinoties ar uzņēmumu, tika secināts, ka minētais piedāvājums ir pieejams, lietojot noteiktus tarifu plānus, par ko informācija reklāmās netika sniegta. Pēc PTAC </w:t>
      </w:r>
      <w:r w:rsidRPr="00AA3E3F">
        <w:rPr>
          <w:rFonts w:ascii="Geometr706 Md TL" w:eastAsia="Calibri" w:hAnsi="Geometr706 Md TL"/>
          <w:sz w:val="20"/>
          <w:szCs w:val="20"/>
        </w:rPr>
        <w:lastRenderedPageBreak/>
        <w:t>norādījuma uz minētās būtiskās informācijas noklusējumu SIA „Bite Latvija” nekavējoties patstāvīgi novērsa konstatēto pārkāpumu, sniedzot papildu informāciju par piedāvājuma ierobežojumiem visos reklāmas izplatīšanos avotos (drukātajās, vides, interneta, televīzijas u. c. reklāmās).</w:t>
      </w:r>
    </w:p>
    <w:p w:rsidR="00256E7F" w:rsidRPr="00AA3E3F" w:rsidRDefault="00256E7F" w:rsidP="00256E7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2013. gada 18. jūlijā PTAC pieņēma lēmumu Nr. E03-PTU-F94-10, ar kuru AS „4finance” piemēroja LVL 9000 naudas sodu un uzdeva nekavējoties izbeigt negodīgu komercpraksi, kas izpaudās kā patērētāju kreditēšanas pakalpojumu sniegšana, pietiekami neizvērtējot patērētāju maksātspēju. Proti, PTAC konstatēja, ka AS „4Finance”, izsniedzot kredītu patērētājiem, nerēķinās ar patērētāju ienākumiem (vai patērētājam vispār ir ienākumi un kāds ir to apmērs), kā rezultātā kredīti tika izsniegti daudziem patērētājiem, kuri tos nespēj atmaksāt. Komersantam uzdots nekavējoties nodrošināt maksātspējas vērtēšanu atbilstoši likuma prasībām, tostarp uzsākt kredīta ņēmēju ienākumu pietiekamības izvērtēšanu pirms katra kredīta izsniegšanas, ja kredīts nav pakļauts likumā minētajiem izņēmumiem. AS „4Finance” PTAC pieņemto lēmumu ir izpildījusi.</w:t>
      </w:r>
    </w:p>
    <w:p w:rsidR="00256E7F" w:rsidRPr="00AA3E3F" w:rsidRDefault="00AA3E3F" w:rsidP="00256E7F">
      <w:pPr>
        <w:tabs>
          <w:tab w:val="left" w:pos="567"/>
        </w:tabs>
        <w:spacing w:line="240" w:lineRule="auto"/>
        <w:jc w:val="both"/>
        <w:rPr>
          <w:rFonts w:ascii="Geometr706 Md TL" w:eastAsia="Calibri" w:hAnsi="Geometr706 Md TL"/>
          <w:sz w:val="20"/>
          <w:szCs w:val="20"/>
        </w:rPr>
      </w:pPr>
      <w:r w:rsidRPr="00AA3E3F">
        <w:rPr>
          <w:rFonts w:ascii="Geometr706 Md TL" w:hAnsi="Geometr706 Md TL"/>
          <w:noProof/>
          <w:sz w:val="20"/>
          <w:szCs w:val="20"/>
          <w:lang w:eastAsia="lv-LV"/>
        </w:rPr>
        <w:drawing>
          <wp:anchor distT="0" distB="0" distL="114300" distR="114300" simplePos="0" relativeHeight="251664384" behindDoc="0" locked="0" layoutInCell="1" allowOverlap="1" wp14:anchorId="4E334F15" wp14:editId="216DAEA6">
            <wp:simplePos x="0" y="0"/>
            <wp:positionH relativeFrom="column">
              <wp:posOffset>-20955</wp:posOffset>
            </wp:positionH>
            <wp:positionV relativeFrom="paragraph">
              <wp:posOffset>25400</wp:posOffset>
            </wp:positionV>
            <wp:extent cx="1260475" cy="175450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0475" cy="1754505"/>
                    </a:xfrm>
                    <a:prstGeom prst="rect">
                      <a:avLst/>
                    </a:prstGeom>
                    <a:noFill/>
                  </pic:spPr>
                </pic:pic>
              </a:graphicData>
            </a:graphic>
            <wp14:sizeRelH relativeFrom="margin">
              <wp14:pctWidth>0</wp14:pctWidth>
            </wp14:sizeRelH>
            <wp14:sizeRelV relativeFrom="margin">
              <wp14:pctHeight>0</wp14:pctHeight>
            </wp14:sizeRelV>
          </wp:anchor>
        </w:drawing>
      </w:r>
      <w:r w:rsidR="00256E7F" w:rsidRPr="00AA3E3F">
        <w:rPr>
          <w:rFonts w:ascii="Geometr706 Md TL" w:eastAsia="Calibri" w:hAnsi="Geometr706 Md TL"/>
          <w:sz w:val="20"/>
          <w:szCs w:val="20"/>
        </w:rPr>
        <w:tab/>
        <w:t>2013. gada 1. jūlijā PTAC pieņēma lēmumu Nr. E03-PTU-F47-7, ar kuru AS „4Finance” piemēroja LVL 3000 naudas sodu par negodīgu komercpraksi, izplatot reklāmas par iespēju sabiedrības klientiem, kuri ņems vismaz LVL 150 lielu kredītu, apmeklēt koncertu „Mīlestība īstajā brīdī”, kurā tika plānota daudzu Latvijā pazīstamu mākslinieku uzstāšanās. PTAC šādas reklāmas atzina par bezatbildīgu aizņemšanos veicinošām, jo patērētājs koncerta biļešu dēļ varēja pieņemt lēmumu ņemt kredītu, lai gan to nespēj atmaksāt vai arī tas viņam nemaz nav nepieciešams.</w:t>
      </w:r>
    </w:p>
    <w:p w:rsidR="00256E7F" w:rsidRPr="00AA3E3F" w:rsidRDefault="00256E7F" w:rsidP="00256E7F">
      <w:pPr>
        <w:tabs>
          <w:tab w:val="left" w:pos="567"/>
        </w:tabs>
        <w:spacing w:line="240" w:lineRule="auto"/>
        <w:rPr>
          <w:rFonts w:ascii="Geometr706 Md TL" w:hAnsi="Geometr706 Md TL"/>
          <w:b/>
          <w:bCs/>
          <w:sz w:val="20"/>
          <w:szCs w:val="20"/>
        </w:rPr>
      </w:pPr>
      <w:r w:rsidRPr="00256E7F">
        <w:rPr>
          <w:rFonts w:ascii="Geometr706 Md TL" w:eastAsia="Calibri" w:hAnsi="Geometr706 Md TL"/>
        </w:rPr>
        <w:br w:type="textWrapping" w:clear="all"/>
      </w:r>
      <w:r w:rsidRPr="00AA3E3F">
        <w:rPr>
          <w:rFonts w:ascii="Geometr706 Md TL" w:hAnsi="Geometr706 Md TL"/>
          <w:b/>
          <w:bCs/>
          <w:sz w:val="20"/>
          <w:szCs w:val="20"/>
        </w:rPr>
        <w:t>Atbilstoši PTAC plānotajām prioritātēm 2013. gadā tika īstenoti šādi uzraudzības projekti:</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 xml:space="preserve">Laika posmā no 2012. gada 2. aprīļa līdz 2013. gada marta beigām tika īstenots uzraudzības projekts </w:t>
      </w:r>
      <w:r w:rsidRPr="00AA3E3F">
        <w:rPr>
          <w:rFonts w:ascii="Geometr706 Md TL" w:eastAsia="Calibri" w:hAnsi="Geometr706 Md TL"/>
          <w:b/>
          <w:sz w:val="20"/>
          <w:szCs w:val="20"/>
        </w:rPr>
        <w:t>„Līgumu noteikumu un komercprakses / reklāmas uzraudzība par precēm / pakalpojumiem, kas iegādāti ārpus pastāvīgās tirdzniecības vai pakalpojumu sniegšanas vietas”</w:t>
      </w:r>
      <w:r w:rsidRPr="00AA3E3F">
        <w:rPr>
          <w:rFonts w:ascii="Geometr706 Md TL" w:eastAsia="Calibri" w:hAnsi="Geometr706 Md TL"/>
          <w:sz w:val="20"/>
          <w:szCs w:val="20"/>
        </w:rPr>
        <w:t>, pamatojoties uz PTAC apzinātajām problēmām konkrētajā nozarē un patērētāju saņemtajām sūdzībām.</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b/>
          <w:sz w:val="20"/>
          <w:szCs w:val="20"/>
        </w:rPr>
        <w:tab/>
        <w:t xml:space="preserve">Projekta mērķis: </w:t>
      </w:r>
      <w:r w:rsidRPr="00AA3E3F">
        <w:rPr>
          <w:rFonts w:ascii="Geometr706 Md TL" w:eastAsia="Calibri" w:hAnsi="Geometr706 Md TL"/>
          <w:sz w:val="20"/>
          <w:szCs w:val="20"/>
        </w:rPr>
        <w:t>izvērtēt tādu komersantu īstenoto komercpraksi, kā arī patērētājiem piedāvātos līgumus, kuri piedāvā preces vai pakalpojumus ārpus to pastāvīgās tirdzniecības vietas, pievēršot īpašu uzmanību atteikuma tiesību nodrošināšanas informācijai.</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r>
      <w:r w:rsidRPr="00AA3E3F">
        <w:rPr>
          <w:rFonts w:ascii="Geometr706 Md TL" w:eastAsia="Calibri" w:hAnsi="Geometr706 Md TL"/>
          <w:b/>
          <w:sz w:val="20"/>
          <w:szCs w:val="20"/>
        </w:rPr>
        <w:t xml:space="preserve">Veiktās darbības: </w:t>
      </w:r>
      <w:r w:rsidRPr="00AA3E3F">
        <w:rPr>
          <w:rFonts w:ascii="Geometr706 Md TL" w:eastAsia="Calibri" w:hAnsi="Geometr706 Md TL"/>
          <w:sz w:val="20"/>
          <w:szCs w:val="20"/>
        </w:rPr>
        <w:t>projekta ietvaros izvērtēja 7 sliekšņa tirdzniecības komersantu (nozares galveno uzņēmumu un uzņēmumu, par kuriem saņemts visvairāk sūdzību) ar patērētājiem noslēgtos līgumus, patērētājiem piedāvātos līgumu projektus un aktuālos patērētājiem adresētos piedāvājumu materiālus (reklāma, komerciālie paziņojumi u. c.). PTAC labprātīgi aicināja uzņēmumus novērst konstatētos pārkāpumus patērētājiem piedāvātajos līgumu projektos un noslēgtajos līgumos, veica arī pārrunas ar vairākiem konkrētās nozares komersantiem.</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r>
      <w:r w:rsidRPr="00AA3E3F">
        <w:rPr>
          <w:rFonts w:ascii="Geometr706 Md TL" w:eastAsia="Calibri" w:hAnsi="Geometr706 Md TL"/>
          <w:b/>
          <w:sz w:val="20"/>
          <w:szCs w:val="20"/>
        </w:rPr>
        <w:t xml:space="preserve">Galvenie konstatētie pārkāpumi </w:t>
      </w:r>
      <w:r w:rsidRPr="00AA3E3F">
        <w:rPr>
          <w:rFonts w:ascii="Geometr706 Md TL" w:eastAsia="Calibri" w:hAnsi="Geometr706 Md TL"/>
          <w:sz w:val="20"/>
          <w:szCs w:val="20"/>
        </w:rPr>
        <w:t>ir patērētāju atteikuma tiesību izmantošanas ierobežošana, kā arī tas, ka patērētājiem piedāvātajos līgumos nav norādīta visa normatīvajos aktos noteiktā informācija.</w:t>
      </w:r>
      <w:r w:rsidRPr="00AA3E3F">
        <w:rPr>
          <w:rStyle w:val="FootnoteReference"/>
          <w:rFonts w:ascii="Geometr706 Md TL" w:eastAsia="Calibri" w:hAnsi="Geometr706 Md TL"/>
          <w:sz w:val="20"/>
          <w:szCs w:val="20"/>
        </w:rPr>
        <w:footnoteReference w:id="1"/>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lastRenderedPageBreak/>
        <w:tab/>
      </w:r>
      <w:r w:rsidRPr="00AA3E3F">
        <w:rPr>
          <w:rFonts w:ascii="Geometr706 Md TL" w:eastAsia="Calibri" w:hAnsi="Geometr706 Md TL"/>
          <w:b/>
          <w:sz w:val="20"/>
          <w:szCs w:val="20"/>
        </w:rPr>
        <w:t xml:space="preserve">Projekta rezultāti: </w:t>
      </w:r>
      <w:r w:rsidRPr="00AA3E3F">
        <w:rPr>
          <w:rFonts w:ascii="Geometr706 Md TL" w:eastAsia="Calibri" w:hAnsi="Geometr706 Md TL"/>
          <w:sz w:val="20"/>
          <w:szCs w:val="20"/>
        </w:rPr>
        <w:t xml:space="preserve">PTAC aktivitāšu rezultātā 6 komersanti ir novērsuši pārkāpumus, iesniedzot rakstveida apņemšanos nepiemērot netaisnīgos līguma noteikumus ar patērētājiem noslēgtajos līgumos, kā arī veikt labojumus patērētājiem piedāvātajos līgumu projektos. Rakstveida apņemšanās ir pieejamas PTAC </w:t>
      </w:r>
      <w:proofErr w:type="spellStart"/>
      <w:r w:rsidRPr="00AA3E3F">
        <w:rPr>
          <w:rFonts w:ascii="Geometr706 Md TL" w:eastAsia="Calibri" w:hAnsi="Geometr706 Md TL"/>
          <w:sz w:val="20"/>
          <w:szCs w:val="20"/>
        </w:rPr>
        <w:t>mājaslapas</w:t>
      </w:r>
      <w:proofErr w:type="spellEnd"/>
      <w:r w:rsidRPr="00AA3E3F">
        <w:rPr>
          <w:rFonts w:ascii="Geometr706 Md TL" w:eastAsia="Calibri" w:hAnsi="Geometr706 Md TL"/>
          <w:sz w:val="20"/>
          <w:szCs w:val="20"/>
        </w:rPr>
        <w:t xml:space="preserve"> </w:t>
      </w:r>
      <w:proofErr w:type="spellStart"/>
      <w:r w:rsidRPr="00AA3E3F">
        <w:rPr>
          <w:rFonts w:ascii="Geometr706 Md TL" w:eastAsia="Calibri" w:hAnsi="Geometr706 Md TL"/>
          <w:i/>
          <w:sz w:val="20"/>
          <w:szCs w:val="20"/>
        </w:rPr>
        <w:t>www.ptac.gov.lv</w:t>
      </w:r>
      <w:proofErr w:type="spellEnd"/>
      <w:r w:rsidRPr="00AA3E3F">
        <w:rPr>
          <w:rFonts w:ascii="Geometr706 Md TL" w:eastAsia="Calibri" w:hAnsi="Geometr706 Md TL"/>
          <w:sz w:val="20"/>
          <w:szCs w:val="20"/>
        </w:rPr>
        <w:t xml:space="preserve"> sadaļā „Rakstveida apņemšanās”. Viens no galvenajiem uzraudzības projekta mērķiem konstatēt un novērst netaisnīgu līguma noteikumu iekļaušanu patērētājiem piedāvātajos līgumu projektos un jau noslēgtajos līgumos, kas noslēgti ārpus pastāvīgās tirdzniecības vai pakalpojumu sniegšanas vietas, ir pilnībā sasniegts, tādējādi uzlabojot patērētāju tiesību ievērošanas līmeni šajā nozarē. PTAC mājaslapas sadaļa „Kas jāzina par sliekšņa tirdzniecību” tika papildināta ar izstrādātajiem ieteikumiem patērētājiem.</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 xml:space="preserve">PTAC piedalījās arī citās informēšanas aktivitātēs, sniedzot konsultāciju raksta „Kas ir sliekšņa tirdzniecība” sagatavošanai „Latvijas Vēstneša” portālam „Par likumu un valsti”, tas publicēts portālā </w:t>
      </w:r>
      <w:proofErr w:type="spellStart"/>
      <w:r w:rsidRPr="00AA3E3F">
        <w:rPr>
          <w:rFonts w:ascii="Geometr706 Md TL" w:eastAsia="Calibri" w:hAnsi="Geometr706 Md TL"/>
          <w:i/>
          <w:sz w:val="20"/>
          <w:szCs w:val="20"/>
        </w:rPr>
        <w:t>www.lvportals.lv</w:t>
      </w:r>
      <w:proofErr w:type="spellEnd"/>
      <w:r w:rsidRPr="00AA3E3F">
        <w:rPr>
          <w:rFonts w:ascii="Geometr706 Md TL" w:eastAsia="Calibri" w:hAnsi="Geometr706 Md TL"/>
          <w:sz w:val="20"/>
          <w:szCs w:val="20"/>
        </w:rPr>
        <w:t xml:space="preserve"> 2013. gada 6. septembrī.</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r>
      <w:r w:rsidRPr="00AA3E3F">
        <w:rPr>
          <w:rFonts w:ascii="Geometr706 Md TL" w:eastAsia="Calibri" w:hAnsi="Geometr706 Md TL"/>
          <w:sz w:val="20"/>
          <w:szCs w:val="20"/>
        </w:rPr>
        <w:tab/>
        <w:t xml:space="preserve">Saņemot patērētāju sūdzības un apzinoties nozares problēmas, laika posmā no 2012. gada 2. aprīļa līdz 2013. gada jūlijam tika īstenots uzraudzības projekts </w:t>
      </w:r>
      <w:r w:rsidRPr="00AA3E3F">
        <w:rPr>
          <w:rFonts w:ascii="Geometr706 Md TL" w:eastAsia="Calibri" w:hAnsi="Geometr706 Md TL"/>
          <w:b/>
          <w:sz w:val="20"/>
          <w:szCs w:val="20"/>
        </w:rPr>
        <w:t>„Līgumu noteikumu un komercprakses / reklāmas uzraudzība automašīnu īstermiņa nomas pakalpojumu jomā”</w:t>
      </w:r>
      <w:r w:rsidRPr="00AA3E3F">
        <w:rPr>
          <w:rFonts w:ascii="Geometr706 Md TL" w:eastAsia="Calibri" w:hAnsi="Geometr706 Md TL"/>
          <w:sz w:val="20"/>
          <w:szCs w:val="20"/>
        </w:rPr>
        <w:t>.</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r>
      <w:r w:rsidRPr="00AA3E3F">
        <w:rPr>
          <w:rFonts w:ascii="Geometr706 Md TL" w:eastAsia="Calibri" w:hAnsi="Geometr706 Md TL"/>
          <w:b/>
          <w:sz w:val="20"/>
          <w:szCs w:val="20"/>
        </w:rPr>
        <w:t>Projekta mērķis</w:t>
      </w:r>
      <w:r w:rsidRPr="00AA3E3F">
        <w:rPr>
          <w:rFonts w:ascii="Geometr706 Md TL" w:eastAsia="Calibri" w:hAnsi="Geometr706 Md TL"/>
          <w:sz w:val="20"/>
          <w:szCs w:val="20"/>
        </w:rPr>
        <w:t>: izvērtēt komersantu, kuri piedāvā īstermiņa (līdz vienam mēnesim) autonomas pakalpojumus, komercpraksi, patērētājiem piedāvātos līgumus.</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r>
      <w:r w:rsidRPr="00AA3E3F">
        <w:rPr>
          <w:rFonts w:ascii="Geometr706 Md TL" w:eastAsia="Calibri" w:hAnsi="Geometr706 Md TL"/>
          <w:b/>
          <w:sz w:val="20"/>
          <w:szCs w:val="20"/>
        </w:rPr>
        <w:t xml:space="preserve">Veiktās darbības: </w:t>
      </w:r>
      <w:r w:rsidRPr="00AA3E3F">
        <w:rPr>
          <w:rFonts w:ascii="Geometr706 Md TL" w:eastAsia="Calibri" w:hAnsi="Geometr706 Md TL"/>
          <w:sz w:val="20"/>
          <w:szCs w:val="20"/>
        </w:rPr>
        <w:t>projekta ietvaros izvērtēti 11 komersantu ar patērētājiem noslēgtie līgumi un piedāvātie līgumu projekti, kā arī patērētājiem adresētie piedāvājumu materiāli (reklāma, komerciālie paziņojumi u. c.). Visos gadījumos uzņēmumi tika aicināti labprātīgi novērst konstatētos pārkāpumus noslēgtajos līgumos un piedāvātajos līgumu projektos.</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r>
      <w:r w:rsidRPr="00AA3E3F">
        <w:rPr>
          <w:rFonts w:ascii="Geometr706 Md TL" w:eastAsia="Calibri" w:hAnsi="Geometr706 Md TL"/>
          <w:b/>
          <w:sz w:val="20"/>
          <w:szCs w:val="20"/>
        </w:rPr>
        <w:t>Galvenie konstatētie pārkāpumi</w:t>
      </w:r>
      <w:r w:rsidRPr="00AA3E3F">
        <w:rPr>
          <w:rFonts w:ascii="Geometr706 Md TL" w:eastAsia="Calibri" w:hAnsi="Geometr706 Md TL"/>
          <w:sz w:val="20"/>
          <w:szCs w:val="20"/>
        </w:rPr>
        <w:t xml:space="preserve"> ir saistīti ar neproporcionāli lielu līgumsodu, pakalpojuma sniedzēja atbildības ierobežošanu attiecībā uz automašīnas tehnisko stāvokli un nepamatotu drošības naudas neatdošanu. Par patērētāju iemaksātās drošības naudas izmantošanu ir jānorāda, ka auto nomas pakalpojumu sniedzējs drīkst izlietot patērētāja skaidrā naudā iemaksāto drošības naudu vai uzsākt maksājumus no patērētāja autorizētā maksājumu konta tikai pēc tam, kad patērētājam ir sniegta pietiekama informācija par konkrētajiem izdevumiem, to apmēru un kad patērētājs tam ir piekritis. Tādējādi komersanti tika aicināti automašīnas nodošanas aktā fiksēt visus patērētāja pārkāpumus, norādot zaudējumu atlīdzības apmēru.</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r>
      <w:r w:rsidRPr="00AA3E3F">
        <w:rPr>
          <w:rFonts w:ascii="Geometr706 Md TL" w:eastAsia="Calibri" w:hAnsi="Geometr706 Md TL"/>
          <w:b/>
          <w:sz w:val="20"/>
          <w:szCs w:val="20"/>
        </w:rPr>
        <w:t xml:space="preserve">Projekta rezultāti: </w:t>
      </w:r>
      <w:r w:rsidRPr="00AA3E3F">
        <w:rPr>
          <w:rFonts w:ascii="Geometr706 Md TL" w:eastAsia="Calibri" w:hAnsi="Geometr706 Md TL"/>
          <w:sz w:val="20"/>
          <w:szCs w:val="20"/>
        </w:rPr>
        <w:t>lielākā daļa komersantu PTAC iesniegusi rakstveida apņemšanās, labprātīgi apņemoties nepiemērot konstatētos netaisnīgos līguma noteikumus ar patērētājiem noslēgtajos līgumos, kā arī veikusi labojumus patērētājiem piedāvātajos līgumu projektos.</w:t>
      </w:r>
      <w:r w:rsidRPr="00AA3E3F">
        <w:rPr>
          <w:rStyle w:val="FootnoteReference"/>
          <w:rFonts w:ascii="Geometr706 Md TL" w:eastAsia="Calibri" w:hAnsi="Geometr706 Md TL"/>
          <w:sz w:val="20"/>
          <w:szCs w:val="20"/>
        </w:rPr>
        <w:footnoteReference w:id="2"/>
      </w:r>
      <w:r w:rsidRPr="00AA3E3F">
        <w:rPr>
          <w:rFonts w:ascii="Geometr706 Md TL" w:eastAsia="Calibri" w:hAnsi="Geometr706 Md TL"/>
          <w:sz w:val="20"/>
          <w:szCs w:val="20"/>
        </w:rPr>
        <w:t xml:space="preserve"> Divos gadījumos ir pieņemts lēmums, uzdodot uzņēmumam pārtraukt ar patērētājiem noslēgtos līgumus un grozīt tajos netaisnīgos līguma noteikumus.</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Projekta ietvaros tika novērsta netaisnīgu līguma noteikumu iekļaušana patērētājiem piedāvātajos līgumu projektos un netaisnīgu līguma noteikumu piemērošana ar patērētājiem jau noslēgtajos automašīnu īstermiņa nomas pakalpojumu līgumos. Vienlaikus tika konstatēti un novērsti Negodīgas komercprakses aizlieguma likumā noteiktie negodīgas komercprakses aizlieguma pārkāpumi, komercprakses īstenotājiem piedāvājot patērētājiem automašīnu īstermiņa nomas pakalpojumus.</w:t>
      </w:r>
      <w:r w:rsidRPr="00AA3E3F">
        <w:rPr>
          <w:rFonts w:ascii="Geometr706 Md TL" w:hAnsi="Geometr706 Md TL"/>
          <w:sz w:val="20"/>
          <w:szCs w:val="20"/>
        </w:rPr>
        <w:t xml:space="preserve"> </w:t>
      </w:r>
      <w:r w:rsidRPr="00AA3E3F">
        <w:rPr>
          <w:rFonts w:ascii="Geometr706 Md TL" w:eastAsia="Calibri" w:hAnsi="Geometr706 Md TL"/>
          <w:sz w:val="20"/>
          <w:szCs w:val="20"/>
        </w:rPr>
        <w:t>Tādējādi tika uzlabota patērētāju tiesību ievērošana šajā nozarē.</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lastRenderedPageBreak/>
        <w:tab/>
        <w:t>Projekta rezultātā PTAC papildināja mājaslapas sadaļu „Informācija patērētājam” ar 10 ieteikumiem īstermiņa auto nomai.</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2013. gada 24. jūlijā PTAC mājaslapā ievietoja pārskatu par uzraudzības projektu.</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256E7F">
        <w:rPr>
          <w:rFonts w:ascii="Geometr706 Md TL" w:eastAsia="Calibri" w:hAnsi="Geometr706 Md TL"/>
        </w:rPr>
        <w:tab/>
      </w:r>
      <w:r w:rsidRPr="00AA3E3F">
        <w:rPr>
          <w:rFonts w:ascii="Geometr706 Md TL" w:eastAsia="Calibri" w:hAnsi="Geometr706 Md TL"/>
          <w:sz w:val="20"/>
          <w:szCs w:val="20"/>
        </w:rPr>
        <w:t xml:space="preserve">2013. gada 26. jūnijā tika uzsākts uzraudzības projekts </w:t>
      </w:r>
      <w:r w:rsidRPr="00AA3E3F">
        <w:rPr>
          <w:rFonts w:ascii="Geometr706 Md TL" w:eastAsia="Calibri" w:hAnsi="Geometr706 Md TL"/>
          <w:b/>
          <w:sz w:val="20"/>
          <w:szCs w:val="20"/>
        </w:rPr>
        <w:t>„Komercprakses / reklāmas un līgumu noteikumu uzraudzība autoskolu pakalpojumu jomā”</w:t>
      </w:r>
      <w:r w:rsidRPr="00AA3E3F">
        <w:rPr>
          <w:rFonts w:ascii="Geometr706 Md TL" w:eastAsia="Calibri" w:hAnsi="Geometr706 Md TL"/>
          <w:sz w:val="20"/>
          <w:szCs w:val="20"/>
        </w:rPr>
        <w:t>.</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b/>
          <w:sz w:val="20"/>
          <w:szCs w:val="20"/>
        </w:rPr>
        <w:tab/>
        <w:t>Projekta mērķis</w:t>
      </w:r>
      <w:r w:rsidRPr="00AA3E3F">
        <w:rPr>
          <w:rFonts w:ascii="Geometr706 Md TL" w:eastAsia="Calibri" w:hAnsi="Geometr706 Md TL"/>
          <w:sz w:val="20"/>
          <w:szCs w:val="20"/>
        </w:rPr>
        <w:t>: konstatēt un novērst Negodīgas komercprakses aizlieguma likumā noteiktā negodīgas komercprakses aizlieguma pārkāpumus, komercprakses īstenotājiem piedāvājot patērētājiem autoskolu pakalpojumus; veikt preventīvus pārkāpumu nepieļaušanas pasākumus, kā arī novērst netaisnīgu līguma noteikumu iekļaušanu patērētājiem piedāvātajos līgumu projektos un jau noslēgtajos autoskolu pakalpojumu līgumos.</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b/>
          <w:sz w:val="20"/>
          <w:szCs w:val="20"/>
        </w:rPr>
        <w:tab/>
        <w:t xml:space="preserve">Veiktās darbības: </w:t>
      </w:r>
      <w:r w:rsidRPr="00AA3E3F">
        <w:rPr>
          <w:rFonts w:ascii="Geometr706 Md TL" w:eastAsia="Calibri" w:hAnsi="Geometr706 Md TL"/>
          <w:sz w:val="20"/>
          <w:szCs w:val="20"/>
        </w:rPr>
        <w:t>projekta ietvaros no 15 projektā iekļautajiem autoskolu pakalpojumu sniedzējiem tika pieprasīti patērētājiem adresētie reklāmas materiāli, noslēgtie līgumi un līgumu projekti, uzsākta autoskolu pakalpojumu sniedzēju mājaslapu pārbaude, kā arī saņemto līgumu un autoskolu pakalpojumu sniedzēju komercprakses izvērtēšana.</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r>
      <w:r w:rsidRPr="00AA3E3F">
        <w:rPr>
          <w:rFonts w:ascii="Geometr706 Md TL" w:eastAsia="Calibri" w:hAnsi="Geometr706 Md TL"/>
          <w:b/>
          <w:sz w:val="20"/>
          <w:szCs w:val="20"/>
        </w:rPr>
        <w:t>Galvenie konstatētie pārkāpumi</w:t>
      </w:r>
      <w:r w:rsidRPr="00AA3E3F">
        <w:rPr>
          <w:rFonts w:ascii="Geometr706 Md TL" w:eastAsia="Calibri" w:hAnsi="Geometr706 Md TL"/>
          <w:sz w:val="20"/>
          <w:szCs w:val="20"/>
        </w:rPr>
        <w:t xml:space="preserve"> ir saistīti ar:</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w:t>
      </w:r>
      <w:r w:rsidRPr="00AA3E3F">
        <w:rPr>
          <w:rFonts w:ascii="Geometr706 Md TL" w:eastAsia="Calibri" w:hAnsi="Geometr706 Md TL"/>
          <w:sz w:val="20"/>
          <w:szCs w:val="20"/>
        </w:rPr>
        <w:tab/>
        <w:t>līgumslēdzēju pušu tiesiskās vienlīdzības neievērošanu, piemēram, līgumā paredzot patērētājam papildu maksu par braukšanas instruktora maiņu;</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w:t>
      </w:r>
      <w:r w:rsidRPr="00AA3E3F">
        <w:rPr>
          <w:rFonts w:ascii="Geometr706 Md TL" w:eastAsia="Calibri" w:hAnsi="Geometr706 Md TL"/>
          <w:sz w:val="20"/>
          <w:szCs w:val="20"/>
        </w:rPr>
        <w:tab/>
        <w:t>pakalpojuma sniedzēju pārāk plašajām tiesībām vienpusēji atkāpties no līguma. Šīs tiesības daudzos gadījumos nav konkrētas, patērētājiem saprotamas, samērīgas un izdarītajam pārkāpumam proporcionālas;</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w:t>
      </w:r>
      <w:r w:rsidRPr="00AA3E3F">
        <w:rPr>
          <w:rFonts w:ascii="Geometr706 Md TL" w:eastAsia="Calibri" w:hAnsi="Geometr706 Md TL"/>
          <w:sz w:val="20"/>
          <w:szCs w:val="20"/>
        </w:rPr>
        <w:tab/>
        <w:t>neskaidru līguma noteikumu iekļaušanu līgumos, piemēram, patērētājam var nebūt saprotams, kādas ir visas ar pakalpojuma saņemšanu saistītās izmaksas, vai līgumā ir atrunāta un patērētājam ir saprotama kārtība, kādā tiek kārtoti autoskolas noteiktie eksāmeni, arī prasības, nosacījumi, braukšanas termiņš un datums, eksāmena derīguma termiņš utt.;</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w:t>
      </w:r>
      <w:r w:rsidRPr="00AA3E3F">
        <w:rPr>
          <w:rFonts w:ascii="Geometr706 Md TL" w:eastAsia="Calibri" w:hAnsi="Geometr706 Md TL"/>
          <w:sz w:val="20"/>
          <w:szCs w:val="20"/>
        </w:rPr>
        <w:tab/>
        <w:t>līgumsoda vai cita veida kompensācijas maksas ietveršanu līgumā, piemēram, līgumsods vai cita veida kompensācija dažkārt ir neproporcionāli lieli, nav noteikti konkrēti un samērīgi gadījumi, kad piemērojama kompensācija vai līgumsods;</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w:t>
      </w:r>
      <w:r w:rsidRPr="00AA3E3F">
        <w:rPr>
          <w:rFonts w:ascii="Geometr706 Md TL" w:eastAsia="Calibri" w:hAnsi="Geometr706 Md TL"/>
          <w:sz w:val="20"/>
          <w:szCs w:val="20"/>
        </w:rPr>
        <w:tab/>
        <w:t>MK 2010. gada 13. aprīļa noteikumos Nr. 358 „Noteikumi par transportlīdzekļu vadītāju apmācību un transportlīdzekļu vadītāju apmācības programmām” noteikto prasību neievērošanu, piemēram, līgumā netiek atspoguļoti tādi būtiski apmācības nosacījumi kā maksa par vienu braukšanas mācību stundu, nodarbību grafiks; netiek ievērota noteikumos noteiktā kārtība, ka mācību grupā reģistrēto personu drīkst atskaitīt no mācību grupas un svītrot no mācību grupas žurnāla tikai gadījumā, ja mācību grupā reģistrētā persona neapmeklē vairāk nekā 10 % konkrētajā mācību programmā noteiktā minimālā nodarbību skaita;</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w:t>
      </w:r>
      <w:r w:rsidRPr="00AA3E3F">
        <w:rPr>
          <w:rFonts w:ascii="Geometr706 Md TL" w:eastAsia="Calibri" w:hAnsi="Geometr706 Md TL"/>
          <w:sz w:val="20"/>
          <w:szCs w:val="20"/>
        </w:rPr>
        <w:tab/>
        <w:t>maldinošas pakalpojuma cenu informācijas norādīšanu.</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r>
      <w:r w:rsidRPr="00AA3E3F">
        <w:rPr>
          <w:rFonts w:ascii="Geometr706 Md TL" w:eastAsia="Calibri" w:hAnsi="Geometr706 Md TL"/>
          <w:b/>
          <w:sz w:val="20"/>
          <w:szCs w:val="20"/>
        </w:rPr>
        <w:t xml:space="preserve">Projekta rezultāti: </w:t>
      </w:r>
      <w:r w:rsidRPr="00AA3E3F">
        <w:rPr>
          <w:rFonts w:ascii="Geometr706 Md TL" w:eastAsia="Calibri" w:hAnsi="Geometr706 Md TL"/>
          <w:sz w:val="20"/>
          <w:szCs w:val="20"/>
        </w:rPr>
        <w:t xml:space="preserve">4 lietās uzņēmumi ir labprātīgi apņēmušies nepiemērot PTAC konstatētos netaisnīgos līguma noteikumus ar patērētājiem jau noslēgtajos līgumos, </w:t>
      </w:r>
      <w:r w:rsidRPr="00AA3E3F">
        <w:rPr>
          <w:rFonts w:ascii="Geometr706 Md TL" w:eastAsia="Calibri" w:hAnsi="Geometr706 Md TL"/>
          <w:sz w:val="20"/>
          <w:szCs w:val="20"/>
        </w:rPr>
        <w:lastRenderedPageBreak/>
        <w:t>kā arī veikt labojumus turpmāk patērētājiem piedāvātajos līgumu projektos.</w:t>
      </w:r>
      <w:r w:rsidRPr="00AA3E3F">
        <w:rPr>
          <w:rStyle w:val="FootnoteReference"/>
          <w:rFonts w:ascii="Geometr706 Md TL" w:eastAsia="Calibri" w:hAnsi="Geometr706 Md TL"/>
          <w:sz w:val="20"/>
          <w:szCs w:val="20"/>
        </w:rPr>
        <w:footnoteReference w:id="3"/>
      </w:r>
      <w:r w:rsidRPr="00AA3E3F">
        <w:rPr>
          <w:rFonts w:ascii="Geometr706 Md TL" w:eastAsia="Calibri" w:hAnsi="Geometr706 Md TL"/>
          <w:sz w:val="20"/>
          <w:szCs w:val="20"/>
        </w:rPr>
        <w:t xml:space="preserve"> 2014. gadā projekta īstenošana tiks turpināta.</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 xml:space="preserve">2013. gada 29. aprīlī tika uzsākts uzraudzības projekts </w:t>
      </w:r>
      <w:r w:rsidRPr="00AA3E3F">
        <w:rPr>
          <w:rFonts w:ascii="Geometr706 Md TL" w:eastAsia="Calibri" w:hAnsi="Geometr706 Md TL"/>
          <w:b/>
          <w:sz w:val="20"/>
          <w:szCs w:val="20"/>
        </w:rPr>
        <w:t>„Līgumu noteikumu un komercprakses / reklāmas uzraudzība sadzīves atkritumu apsaimniekošanas jomā”</w:t>
      </w:r>
      <w:r w:rsidRPr="00AA3E3F">
        <w:rPr>
          <w:rFonts w:ascii="Geometr706 Md TL" w:eastAsia="Calibri" w:hAnsi="Geometr706 Md TL"/>
          <w:sz w:val="20"/>
          <w:szCs w:val="20"/>
        </w:rPr>
        <w:t>.</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r>
      <w:r w:rsidRPr="00AA3E3F">
        <w:rPr>
          <w:rFonts w:ascii="Geometr706 Md TL" w:eastAsia="Calibri" w:hAnsi="Geometr706 Md TL"/>
          <w:b/>
          <w:sz w:val="20"/>
          <w:szCs w:val="20"/>
        </w:rPr>
        <w:t>Projekta mērķis:</w:t>
      </w:r>
      <w:r w:rsidRPr="00AA3E3F">
        <w:rPr>
          <w:rFonts w:ascii="Geometr706 Md TL" w:eastAsia="Calibri" w:hAnsi="Geometr706 Md TL"/>
          <w:sz w:val="20"/>
          <w:szCs w:val="20"/>
        </w:rPr>
        <w:t xml:space="preserve"> konstatēt un novērst netaisnīgu līguma noteikumu iekļaušanu patērētājiem piedāvātajos līgumu projektos un netaisnīgu līguma noteikumu piemērošanu ar patērētājiem jau noslēgtajos sadzīves atkritumu apsaimniekošanas līgumos. Izvērtējot sadzīves atkritumu apsaimniekotāju komercprakses atbilstību normatīvo aktu prasībām, galvenā uzmanība pievērsta tam, vai sadzīves atkritumu apsaimniekošanas pakalpojuma sniedzējs maksu par atkritumu apsaimniekošanu aprēķina atbilstoši normatīvajos aktos noteiktajam (ievērojot patērēto atkritumu daudzumu).</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r>
      <w:r w:rsidRPr="00AA3E3F">
        <w:rPr>
          <w:rFonts w:ascii="Geometr706 Md TL" w:eastAsia="Calibri" w:hAnsi="Geometr706 Md TL"/>
          <w:b/>
          <w:sz w:val="20"/>
          <w:szCs w:val="20"/>
        </w:rPr>
        <w:t xml:space="preserve">Veiktās darbības: </w:t>
      </w:r>
      <w:r w:rsidRPr="00AA3E3F">
        <w:rPr>
          <w:rFonts w:ascii="Geometr706 Md TL" w:eastAsia="Calibri" w:hAnsi="Geometr706 Md TL"/>
          <w:sz w:val="20"/>
          <w:szCs w:val="20"/>
        </w:rPr>
        <w:t>projekta ietvaros no 19 projektā iekļautajiem sadzīves atkritumu apsaimniekošanas pakalpojumu sniedzējiem tika pieprasīti patērētājiem adresētie reklāmas materiāli, noslēgtie līgumi un līgumu projekti, uzsākta sadzīves atkritumu apsaimniekošanas pakalpojumu sniedzēju mājaslapu pārbaude, kā arī saņemto līgumu un sadzīves atkritumu apsaimniekošanas pakalpojumu sniedzēju komercprakses izvērtēšana. Kopumā izvērtēti 14 sadzīves atkritumu apsaimniekošanas uzņēmumu piedāvātie līgumi un īstenotā komercprakse, aprēķinot maksu par atkritumu apsaimniekošanu. Visos gadījumos PTAC aicināja sadzīves atkritumu apsaimniekošanas pakalpojumu sniedzējus labprātīgi novērst konstatētos pārkāpumus patērētājiem piedāvātajos līgumu projektos un noslēgtajos līgumos.</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r>
      <w:r w:rsidRPr="00AA3E3F">
        <w:rPr>
          <w:rFonts w:ascii="Geometr706 Md TL" w:eastAsia="Calibri" w:hAnsi="Geometr706 Md TL"/>
          <w:b/>
          <w:sz w:val="20"/>
          <w:szCs w:val="20"/>
        </w:rPr>
        <w:t>Galvenie konstatētie pārkāpumi</w:t>
      </w:r>
      <w:r w:rsidRPr="00AA3E3F">
        <w:rPr>
          <w:rFonts w:ascii="Geometr706 Md TL" w:eastAsia="Calibri" w:hAnsi="Geometr706 Md TL"/>
          <w:sz w:val="20"/>
          <w:szCs w:val="20"/>
        </w:rPr>
        <w:t xml:space="preserve"> ir saistīti ar:</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w:t>
      </w:r>
      <w:r w:rsidRPr="00AA3E3F">
        <w:rPr>
          <w:rFonts w:ascii="Geometr706 Md TL" w:eastAsia="Calibri" w:hAnsi="Geometr706 Md TL"/>
          <w:sz w:val="20"/>
          <w:szCs w:val="20"/>
        </w:rPr>
        <w:tab/>
        <w:t>nepamatotu patērētāja likumīgo tiesību ierobežošanu, piesakot prasījumu par līguma noteikumiem neatbilstošu pakalpojumu, piemēram, nosakot, ka pretenzijas par sniegtā pakalpojuma kvalitāti tiek izskatītas, ja tās ir iesniegtas pakalpojuma sniedzējam rakstiski 24 stundu laikā pēc attiecīgā notikuma, kā arī piemērojot neproporcionāli lielu līgumsodu vai cita veida kompensāciju;</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w:t>
      </w:r>
      <w:r w:rsidRPr="00AA3E3F">
        <w:rPr>
          <w:rFonts w:ascii="Geometr706 Md TL" w:eastAsia="Calibri" w:hAnsi="Geometr706 Md TL"/>
          <w:sz w:val="20"/>
          <w:szCs w:val="20"/>
        </w:rPr>
        <w:tab/>
        <w:t>pārāk plašām pakalpojuma sniedzēja tiesībām nesniegt sadzīves atkritumu apsaimniekošanas pakalpojumu, piemēram, patērētājam ir pienākums nodrošināt, lai sadzīves atkritumu izvešanas dienā pievedceļi ir tādā kārtībā, ka specializētā atkritumu izvešanas tehnika varētu piebraukt objektam, proti, ceļam jābūt iztīrītam 3 metru platumā taisnā ceļa posmā un 5 metru platumā pagriezienos; nekavējoties, bet ne vēlāk kā vienu dienu pirms atkritumu izvešanas dienas paziņot pakalpojuma sniedzējam par atkritumu izvešanas pārtraukšanas termiņu, ja pie konteineru laukumiem ir slēgta kustība; pakalpojuma sniedzējs nav atbildīgs par iesalušu sadzīves atkritumu konteineru iztukšošanu, kā arī pakalpojuma sniedzējs ir atbrīvots no pakalpojuma sniegšanas, ja sals ir lielāks par –20 °C;</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w:t>
      </w:r>
      <w:r w:rsidRPr="00AA3E3F">
        <w:rPr>
          <w:rFonts w:ascii="Geometr706 Md TL" w:eastAsia="Calibri" w:hAnsi="Geometr706 Md TL"/>
          <w:sz w:val="20"/>
          <w:szCs w:val="20"/>
        </w:rPr>
        <w:tab/>
        <w:t xml:space="preserve">nevienlīdzīgu tiesību noteikšanu līgumslēdzējām pusēm, piemēram, nosakot, ka patērētājam ir saistoši pakalpojuma sniedzēja pakalpojuma izpildes gaitā veiktie pieraksti par </w:t>
      </w:r>
      <w:proofErr w:type="spellStart"/>
      <w:r w:rsidRPr="00AA3E3F">
        <w:rPr>
          <w:rFonts w:ascii="Geometr706 Md TL" w:eastAsia="Calibri" w:hAnsi="Geometr706 Md TL"/>
          <w:sz w:val="20"/>
          <w:szCs w:val="20"/>
        </w:rPr>
        <w:t>papildapjomu</w:t>
      </w:r>
      <w:proofErr w:type="spellEnd"/>
      <w:r w:rsidRPr="00AA3E3F">
        <w:rPr>
          <w:rFonts w:ascii="Geometr706 Md TL" w:eastAsia="Calibri" w:hAnsi="Geometr706 Md TL"/>
          <w:sz w:val="20"/>
          <w:szCs w:val="20"/>
        </w:rPr>
        <w:t>, konteineru saturu, iztukšošanu ierobežojošajiem faktoriem un konteineru bojājumiem;</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w:t>
      </w:r>
      <w:r w:rsidRPr="00AA3E3F">
        <w:rPr>
          <w:rFonts w:ascii="Geometr706 Md TL" w:eastAsia="Calibri" w:hAnsi="Geometr706 Md TL"/>
          <w:sz w:val="20"/>
          <w:szCs w:val="20"/>
        </w:rPr>
        <w:tab/>
        <w:t>neskaidru līguma noteikumu iekļaušanu patērētājiem piedāvātajos līgumu projektos un ar patērētājiem jau noslēgtajos līgumos;</w:t>
      </w:r>
    </w:p>
    <w:p w:rsidR="00256E7F" w:rsidRPr="00AA3E3F" w:rsidRDefault="00256E7F" w:rsidP="00AA3E3F">
      <w:pPr>
        <w:pStyle w:val="ListParagraph"/>
        <w:widowControl/>
        <w:numPr>
          <w:ilvl w:val="0"/>
          <w:numId w:val="47"/>
        </w:numPr>
        <w:tabs>
          <w:tab w:val="left" w:pos="567"/>
        </w:tabs>
        <w:adjustRightInd/>
        <w:spacing w:line="240" w:lineRule="auto"/>
        <w:textAlignment w:val="auto"/>
        <w:rPr>
          <w:rFonts w:ascii="Geometr706 Md TL" w:eastAsia="Calibri" w:hAnsi="Geometr706 Md TL"/>
          <w:sz w:val="20"/>
          <w:szCs w:val="20"/>
          <w:lang w:eastAsia="en-US"/>
        </w:rPr>
      </w:pPr>
      <w:r w:rsidRPr="00AA3E3F">
        <w:rPr>
          <w:rFonts w:ascii="Geometr706 Md TL" w:eastAsia="Calibri" w:hAnsi="Geometr706 Md TL"/>
          <w:sz w:val="20"/>
          <w:szCs w:val="20"/>
          <w:lang w:eastAsia="en-US"/>
        </w:rPr>
        <w:t>nepareizu atkritumu apsaimniekošanas maksas aprēķināšanas kārtību, rēķinot pēc attiecīgajā īpašumā deklarēto personu skaita, nevis atkritumu daudzuma.</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lastRenderedPageBreak/>
        <w:tab/>
      </w:r>
      <w:r w:rsidRPr="00AA3E3F">
        <w:rPr>
          <w:rFonts w:ascii="Geometr706 Md TL" w:eastAsia="Calibri" w:hAnsi="Geometr706 Md TL"/>
          <w:b/>
          <w:sz w:val="20"/>
          <w:szCs w:val="20"/>
        </w:rPr>
        <w:t xml:space="preserve">Projekta rezultāti: </w:t>
      </w:r>
      <w:r w:rsidRPr="00AA3E3F">
        <w:rPr>
          <w:rFonts w:ascii="Geometr706 Md TL" w:eastAsia="Calibri" w:hAnsi="Geometr706 Md TL"/>
          <w:sz w:val="20"/>
          <w:szCs w:val="20"/>
        </w:rPr>
        <w:t>Lielākā daļa komersantu labprātīgi iesniegusi rakstveida apņemšanos nepiemērot PTAC konstatētos netaisnīgos līguma noteikumus ar patērētājiem jau noslēgtajos līgumos, kā arī veikusi labojumus turpmāk patērētājiem piedāvātajos līgumu projektos. Ir novērstas arī PTAC konstatētās problēmas atkritumu apsaimniekošanas maksas aprēķināšanā.</w:t>
      </w:r>
      <w:r w:rsidRPr="00AA3E3F">
        <w:rPr>
          <w:rStyle w:val="FootnoteReference"/>
          <w:rFonts w:ascii="Geometr706 Md TL" w:eastAsia="Calibri" w:hAnsi="Geometr706 Md TL"/>
          <w:sz w:val="20"/>
          <w:szCs w:val="20"/>
        </w:rPr>
        <w:footnoteReference w:id="4"/>
      </w:r>
      <w:r w:rsidRPr="00AA3E3F">
        <w:rPr>
          <w:rFonts w:ascii="Geometr706 Md TL" w:eastAsia="Calibri" w:hAnsi="Geometr706 Md TL"/>
          <w:sz w:val="20"/>
          <w:szCs w:val="20"/>
        </w:rPr>
        <w:t xml:space="preserve"> Tādējādi projekta mērķi ir sasniegti un patērētāju tiesību aizsardzība šajā nozarē ir būtiski uzlabota.</w:t>
      </w:r>
    </w:p>
    <w:p w:rsidR="00256E7F" w:rsidRPr="00AA3E3F" w:rsidRDefault="00256E7F" w:rsidP="00AA3E3F">
      <w:pPr>
        <w:tabs>
          <w:tab w:val="left" w:pos="567"/>
        </w:tabs>
        <w:spacing w:line="240" w:lineRule="auto"/>
        <w:jc w:val="both"/>
        <w:rPr>
          <w:rFonts w:ascii="Geometr706 Md TL" w:eastAsia="Calibri" w:hAnsi="Geometr706 Md TL"/>
          <w:b/>
          <w:sz w:val="20"/>
          <w:szCs w:val="20"/>
        </w:rPr>
      </w:pPr>
      <w:r w:rsidRPr="00AA3E3F">
        <w:rPr>
          <w:rFonts w:ascii="Geometr706 Md TL" w:eastAsia="Calibri" w:hAnsi="Geometr706 Md TL"/>
          <w:sz w:val="20"/>
          <w:szCs w:val="20"/>
        </w:rPr>
        <w:tab/>
        <w:t>Projekta īstenošana tiks turpināta arī 2014. gadā, kad ir plānots sadarbībā ar VARAM izstrādāt patērētājiem un uzņēmējiem informatīvu materiālu par sadzīves atkritumu apsaimniekošanas līgumu izveidi.</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 xml:space="preserve">Ievērojot patērētāju sūdzības un straujo sektora attīstību, laika posmā no 2012. gada līdz 2013. gada jūlijam tika īstenots uzraudzības projekts </w:t>
      </w:r>
      <w:r w:rsidRPr="00AA3E3F">
        <w:rPr>
          <w:rFonts w:ascii="Geometr706 Md TL" w:eastAsia="Calibri" w:hAnsi="Geometr706 Md TL"/>
          <w:b/>
          <w:sz w:val="20"/>
          <w:szCs w:val="20"/>
        </w:rPr>
        <w:t>„Komercprakses un līgumu noteikumu uzraudzība kolektīvās iepirkšanās tiešsaistes jomā”</w:t>
      </w:r>
      <w:r w:rsidRPr="00AA3E3F">
        <w:rPr>
          <w:rFonts w:ascii="Geometr706 Md TL" w:eastAsia="Calibri" w:hAnsi="Geometr706 Md TL"/>
          <w:sz w:val="20"/>
          <w:szCs w:val="20"/>
        </w:rPr>
        <w:t>. Kolektīvās iepirkšanās joma projekta ietvaros ir vērtēta plašā izpratnē, ar to saprotot arī tirdzniecību ar e-kuponu u. tml. līdzekļu starpniecību.</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r>
      <w:r w:rsidRPr="00AA3E3F">
        <w:rPr>
          <w:rFonts w:ascii="Geometr706 Md TL" w:eastAsia="Calibri" w:hAnsi="Geometr706 Md TL"/>
          <w:b/>
          <w:sz w:val="20"/>
          <w:szCs w:val="20"/>
        </w:rPr>
        <w:t>Projekta mērķis</w:t>
      </w:r>
      <w:r w:rsidRPr="00AA3E3F">
        <w:rPr>
          <w:rFonts w:ascii="Geometr706 Md TL" w:eastAsia="Calibri" w:hAnsi="Geometr706 Md TL"/>
          <w:sz w:val="20"/>
          <w:szCs w:val="20"/>
        </w:rPr>
        <w:t>: izvērtēt kuponu mājaslapās īstenotās komercprakses atbilstību patērētāju tiesību aizsardzību regulējošo normatīvo aktu prasībām nolūkā konstatēt un novērst normatīvo aktu pārkāpumus, kā arī veikt preventīvus patērētāju tiesību aizsardzības pasākumus konkrētajā jomā.</w:t>
      </w:r>
    </w:p>
    <w:p w:rsidR="00256E7F" w:rsidRPr="00AA3E3F" w:rsidRDefault="00256E7F" w:rsidP="00AA3E3F">
      <w:pPr>
        <w:tabs>
          <w:tab w:val="left" w:pos="567"/>
          <w:tab w:val="left" w:pos="3029"/>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r>
      <w:r w:rsidRPr="00AA3E3F">
        <w:rPr>
          <w:rFonts w:ascii="Geometr706 Md TL" w:eastAsia="Calibri" w:hAnsi="Geometr706 Md TL"/>
          <w:b/>
          <w:sz w:val="20"/>
          <w:szCs w:val="20"/>
        </w:rPr>
        <w:t xml:space="preserve">Veiktās darbības: </w:t>
      </w:r>
      <w:r w:rsidRPr="00AA3E3F">
        <w:rPr>
          <w:rFonts w:ascii="Geometr706 Md TL" w:eastAsia="Calibri" w:hAnsi="Geometr706 Md TL"/>
          <w:sz w:val="20"/>
          <w:szCs w:val="20"/>
        </w:rPr>
        <w:t>projekta īstenošanas gaitā PTAC izvērtēja 31 kolektīvās iepirkšanās mājaslapu, kurā patērētājiem piedāvāts iegādāties e-kuponus dažādu preču pirkšanai un pakalpojumu saņemšanai. PTAC projekta ietvaros veica pārbaudi, izvērtējot e-kuponu skaita samērojamības, piemēroto atlaižu, piedāvājumos norādīto preču un pakalpojumu cenu, piedāvājumu apraksta kvalitātes, darījumu drošības kontroles sistēmas, kā arī atteikuma tiesību izmantošanas un patērētāju sūdzību izskatīšanas iespēju nodrošināšanas atbilstību. PTAC konstatēja neatbilstības visās izvērtētajās mājaslapās. Lai novērstu pārkāpumus, PTAC visos gadījumos sazinājās ar e-kuponu pārdevējiem, ierosināja labprātīgi novērst mājaslapās konstatētos pārkāpumus, kā arī pieprasīja lietu izpētei nepieciešamo informāciju.</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PTAC sadarbībā ar Latvijas Patērētāju interešu aizstāvības asociāciju veica pētījumu, lai pārbaudītu, vai pilnībā tiek nodrošinātas normatīvajos aktos noteiktās patērētāju tiesības, iegādājoties produktus kolektīvās iepirkšanās mājaslapās. Pētījuma ietvaros tika pārbaudīta patērētāju tiesību ievērošana 10 populārākajās kolektīvās iepirkšanās mājaslapās, veicot kontrolpirkumus, lai izvērtētu patērētājiem sniegtās informācijas atbilstību un pārbaudītu patērētāju likumīgo atteikuma tiesību izmantošanu (gan kuponiem, gan precēm), kā arī aptaujāti patērētāji par iepirkšanos konkrētā veida portālos. Galvenie pētījuma ietvaros konstatētie pārkāpumi ir saistīti ar darījumu apliecinošu dokumentu neizsniegšanu, neskaidras informācijas sniegšanu atsevišķos gadījumos (piemēram, par piedāvāto produktu, par sūdzību izskatīšanas kārtību), kā arī patērētāja samaksātās naudas summas savlaicīgu neatmaksāšanu atteikuma tiesību izmantošanas gadījumā.</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r>
      <w:r w:rsidRPr="00AA3E3F">
        <w:rPr>
          <w:rFonts w:ascii="Geometr706 Md TL" w:eastAsia="Calibri" w:hAnsi="Geometr706 Md TL"/>
          <w:b/>
          <w:sz w:val="20"/>
          <w:szCs w:val="20"/>
        </w:rPr>
        <w:t>Visbiežāk konstatētie pārkāpumi</w:t>
      </w:r>
      <w:r w:rsidRPr="00AA3E3F">
        <w:rPr>
          <w:rFonts w:ascii="Geometr706 Md TL" w:eastAsia="Calibri" w:hAnsi="Geometr706 Md TL"/>
          <w:sz w:val="20"/>
          <w:szCs w:val="20"/>
        </w:rPr>
        <w:t xml:space="preserve"> mājaslapās ir šādi:</w:t>
      </w:r>
    </w:p>
    <w:p w:rsidR="00256E7F" w:rsidRPr="00AA3E3F" w:rsidRDefault="00256E7F" w:rsidP="00AA3E3F">
      <w:pPr>
        <w:numPr>
          <w:ilvl w:val="0"/>
          <w:numId w:val="7"/>
        </w:numPr>
        <w:tabs>
          <w:tab w:val="left" w:pos="142"/>
        </w:tabs>
        <w:spacing w:after="0" w:line="240" w:lineRule="auto"/>
        <w:ind w:left="0" w:firstLine="360"/>
        <w:jc w:val="both"/>
        <w:rPr>
          <w:rFonts w:ascii="Geometr706 Md TL" w:eastAsia="Calibri" w:hAnsi="Geometr706 Md TL"/>
          <w:sz w:val="20"/>
          <w:szCs w:val="20"/>
        </w:rPr>
      </w:pPr>
      <w:r w:rsidRPr="00AA3E3F">
        <w:rPr>
          <w:rFonts w:ascii="Geometr706 Md TL" w:eastAsia="Calibri" w:hAnsi="Geometr706 Md TL"/>
          <w:sz w:val="20"/>
          <w:szCs w:val="20"/>
        </w:rPr>
        <w:t>nav sniegta vai ir sniegta nepilnīga informācija par e-kupona pārdevēju un (vai) preces pārdevēju (pakalpojuma sniedzēju);</w:t>
      </w:r>
    </w:p>
    <w:p w:rsidR="00256E7F" w:rsidRPr="00AA3E3F" w:rsidRDefault="00256E7F" w:rsidP="00AA3E3F">
      <w:pPr>
        <w:numPr>
          <w:ilvl w:val="0"/>
          <w:numId w:val="7"/>
        </w:numPr>
        <w:tabs>
          <w:tab w:val="left" w:pos="567"/>
        </w:tabs>
        <w:spacing w:after="0" w:line="240" w:lineRule="auto"/>
        <w:ind w:left="0" w:firstLine="360"/>
        <w:jc w:val="both"/>
        <w:rPr>
          <w:rFonts w:ascii="Geometr706 Md TL" w:eastAsia="Calibri" w:hAnsi="Geometr706 Md TL"/>
          <w:sz w:val="20"/>
          <w:szCs w:val="20"/>
        </w:rPr>
      </w:pPr>
      <w:r w:rsidRPr="00AA3E3F">
        <w:rPr>
          <w:rFonts w:ascii="Geometr706 Md TL" w:eastAsia="Calibri" w:hAnsi="Geometr706 Md TL"/>
          <w:sz w:val="20"/>
          <w:szCs w:val="20"/>
        </w:rPr>
        <w:t>nav sniegta vai ir sniegta neatbilstoša informācija par patērētāja atteikuma tiesībām;</w:t>
      </w:r>
    </w:p>
    <w:p w:rsidR="00256E7F" w:rsidRPr="00AA3E3F" w:rsidRDefault="00256E7F" w:rsidP="00AA3E3F">
      <w:pPr>
        <w:numPr>
          <w:ilvl w:val="0"/>
          <w:numId w:val="7"/>
        </w:numPr>
        <w:tabs>
          <w:tab w:val="left" w:pos="567"/>
        </w:tabs>
        <w:spacing w:after="0" w:line="240" w:lineRule="auto"/>
        <w:ind w:left="0" w:firstLine="360"/>
        <w:jc w:val="both"/>
        <w:rPr>
          <w:rFonts w:ascii="Geometr706 Md TL" w:eastAsia="Calibri" w:hAnsi="Geometr706 Md TL"/>
          <w:sz w:val="20"/>
          <w:szCs w:val="20"/>
        </w:rPr>
      </w:pPr>
      <w:r w:rsidRPr="00AA3E3F">
        <w:rPr>
          <w:rFonts w:ascii="Geometr706 Md TL" w:eastAsia="Calibri" w:hAnsi="Geometr706 Md TL"/>
          <w:sz w:val="20"/>
          <w:szCs w:val="20"/>
        </w:rPr>
        <w:t>ir sniegta neskaidra informācija par kupona izmantošanas termiņu;</w:t>
      </w:r>
    </w:p>
    <w:p w:rsidR="00256E7F" w:rsidRPr="00AA3E3F" w:rsidRDefault="00256E7F" w:rsidP="00AA3E3F">
      <w:pPr>
        <w:numPr>
          <w:ilvl w:val="0"/>
          <w:numId w:val="7"/>
        </w:numPr>
        <w:tabs>
          <w:tab w:val="left" w:pos="567"/>
        </w:tabs>
        <w:spacing w:after="0" w:line="240" w:lineRule="auto"/>
        <w:ind w:left="0" w:firstLine="360"/>
        <w:jc w:val="both"/>
        <w:rPr>
          <w:rFonts w:ascii="Geometr706 Md TL" w:eastAsia="Calibri" w:hAnsi="Geometr706 Md TL"/>
          <w:sz w:val="20"/>
          <w:szCs w:val="20"/>
        </w:rPr>
      </w:pPr>
      <w:r w:rsidRPr="00AA3E3F">
        <w:rPr>
          <w:rFonts w:ascii="Geometr706 Md TL" w:eastAsia="Calibri" w:hAnsi="Geometr706 Md TL"/>
          <w:sz w:val="20"/>
          <w:szCs w:val="20"/>
        </w:rPr>
        <w:lastRenderedPageBreak/>
        <w:t>ir sniegta maldinoša informācija par piedāvātās preces (pakalpojuma) cenu un piemēroto atlaidi, tostarp piedāvājumos nevar konstatēt regulāro preces (pakalpojuma) cenu;</w:t>
      </w:r>
    </w:p>
    <w:p w:rsidR="00256E7F" w:rsidRPr="00AA3E3F" w:rsidRDefault="00256E7F" w:rsidP="00AA3E3F">
      <w:pPr>
        <w:numPr>
          <w:ilvl w:val="0"/>
          <w:numId w:val="7"/>
        </w:numPr>
        <w:tabs>
          <w:tab w:val="left" w:pos="567"/>
        </w:tabs>
        <w:spacing w:after="0" w:line="240" w:lineRule="auto"/>
        <w:ind w:left="0" w:firstLine="360"/>
        <w:jc w:val="both"/>
        <w:rPr>
          <w:rFonts w:ascii="Geometr706 Md TL" w:eastAsia="Calibri" w:hAnsi="Geometr706 Md TL"/>
          <w:sz w:val="20"/>
          <w:szCs w:val="20"/>
        </w:rPr>
      </w:pPr>
      <w:r w:rsidRPr="00AA3E3F">
        <w:rPr>
          <w:rFonts w:ascii="Geometr706 Md TL" w:eastAsia="Calibri" w:hAnsi="Geometr706 Md TL"/>
          <w:sz w:val="20"/>
          <w:szCs w:val="20"/>
        </w:rPr>
        <w:t>ir sniegta maldinoša informācija par vidējo akcijas norises laiku (periodu, kad var iegādāties kuponu) un piemērotās atlaides lielumu;</w:t>
      </w:r>
    </w:p>
    <w:p w:rsidR="00256E7F" w:rsidRPr="00AA3E3F" w:rsidRDefault="00256E7F" w:rsidP="00AA3E3F">
      <w:pPr>
        <w:numPr>
          <w:ilvl w:val="0"/>
          <w:numId w:val="7"/>
        </w:numPr>
        <w:tabs>
          <w:tab w:val="left" w:pos="567"/>
        </w:tabs>
        <w:spacing w:after="0" w:line="240" w:lineRule="auto"/>
        <w:ind w:left="0" w:firstLine="360"/>
        <w:jc w:val="both"/>
        <w:rPr>
          <w:rFonts w:ascii="Geometr706 Md TL" w:eastAsia="Calibri" w:hAnsi="Geometr706 Md TL"/>
          <w:sz w:val="20"/>
          <w:szCs w:val="20"/>
        </w:rPr>
      </w:pPr>
      <w:r w:rsidRPr="00AA3E3F">
        <w:rPr>
          <w:rFonts w:ascii="Geometr706 Md TL" w:eastAsia="Calibri" w:hAnsi="Geometr706 Md TL"/>
          <w:sz w:val="20"/>
          <w:szCs w:val="20"/>
        </w:rPr>
        <w:t>nav sniegta informācija par patērētāju sūdzību izskatīšanas kārtību;</w:t>
      </w:r>
    </w:p>
    <w:p w:rsidR="00256E7F" w:rsidRPr="00AA3E3F" w:rsidRDefault="00256E7F" w:rsidP="00AA3E3F">
      <w:pPr>
        <w:numPr>
          <w:ilvl w:val="0"/>
          <w:numId w:val="7"/>
        </w:numPr>
        <w:tabs>
          <w:tab w:val="left" w:pos="567"/>
        </w:tabs>
        <w:spacing w:after="0" w:line="240" w:lineRule="auto"/>
        <w:ind w:left="0" w:firstLine="360"/>
        <w:jc w:val="both"/>
        <w:rPr>
          <w:rFonts w:ascii="Geometr706 Md TL" w:eastAsia="Calibri" w:hAnsi="Geometr706 Md TL"/>
          <w:sz w:val="20"/>
          <w:szCs w:val="20"/>
        </w:rPr>
      </w:pPr>
      <w:r w:rsidRPr="00AA3E3F">
        <w:rPr>
          <w:rFonts w:ascii="Geometr706 Md TL" w:eastAsia="Calibri" w:hAnsi="Geometr706 Md TL"/>
          <w:sz w:val="20"/>
          <w:szCs w:val="20"/>
        </w:rPr>
        <w:t>ir piedāvāti netaisnīgi, kā arī neskaidri līguma noteikumi, piemēram, samazināta e-kupona pārdevēja atbildība; e-kupona pārdevējam paredzētas tiesības vienpusēji mainīt līguma noteikumus / piedāvājumu saturu un noteikumus; paredzētas tiesības pārtraukt akciju jebkurā laikā; nav ievēroti noteikumi par personas datu nodošanu trešajām personām; ir nekonkrēti komerciālo paziņojumu turpmākās sūtīšanas noteikumi u. c.;</w:t>
      </w:r>
    </w:p>
    <w:p w:rsidR="00256E7F" w:rsidRPr="00AA3E3F" w:rsidRDefault="00256E7F" w:rsidP="00AA3E3F">
      <w:pPr>
        <w:numPr>
          <w:ilvl w:val="0"/>
          <w:numId w:val="7"/>
        </w:numPr>
        <w:tabs>
          <w:tab w:val="left" w:pos="567"/>
        </w:tabs>
        <w:spacing w:after="0" w:line="240" w:lineRule="auto"/>
        <w:ind w:left="0" w:firstLine="360"/>
        <w:jc w:val="both"/>
        <w:rPr>
          <w:rFonts w:ascii="Geometr706 Md TL" w:eastAsia="Calibri" w:hAnsi="Geometr706 Md TL"/>
          <w:sz w:val="20"/>
          <w:szCs w:val="20"/>
        </w:rPr>
      </w:pPr>
      <w:r w:rsidRPr="00AA3E3F">
        <w:rPr>
          <w:rFonts w:ascii="Geometr706 Md TL" w:eastAsia="Calibri" w:hAnsi="Geometr706 Md TL"/>
          <w:sz w:val="20"/>
          <w:szCs w:val="20"/>
        </w:rPr>
        <w:t>nav nodrošināta līguma noteikumu saglabāšanas iespēja;</w:t>
      </w:r>
    </w:p>
    <w:p w:rsidR="00256E7F" w:rsidRPr="00AA3E3F" w:rsidRDefault="00256E7F" w:rsidP="00AA3E3F">
      <w:pPr>
        <w:numPr>
          <w:ilvl w:val="0"/>
          <w:numId w:val="7"/>
        </w:numPr>
        <w:tabs>
          <w:tab w:val="left" w:pos="567"/>
        </w:tabs>
        <w:spacing w:after="0" w:line="240" w:lineRule="auto"/>
        <w:ind w:left="0" w:firstLine="360"/>
        <w:jc w:val="both"/>
        <w:rPr>
          <w:rFonts w:ascii="Geometr706 Md TL" w:eastAsia="Calibri" w:hAnsi="Geometr706 Md TL"/>
          <w:sz w:val="20"/>
          <w:szCs w:val="20"/>
        </w:rPr>
      </w:pPr>
      <w:r w:rsidRPr="00AA3E3F">
        <w:rPr>
          <w:rFonts w:ascii="Geometr706 Md TL" w:eastAsia="Calibri" w:hAnsi="Geometr706 Md TL"/>
          <w:sz w:val="20"/>
          <w:szCs w:val="20"/>
        </w:rPr>
        <w:t>atsevišķos gadījumos pirms e-kupona iegādes procesa uzsākšanas netiek sniegta informācija, vai piedāvātajā cenā ir iekļauts PVN;</w:t>
      </w:r>
    </w:p>
    <w:p w:rsidR="00256E7F" w:rsidRPr="00AA3E3F" w:rsidRDefault="00256E7F" w:rsidP="00AA3E3F">
      <w:pPr>
        <w:numPr>
          <w:ilvl w:val="0"/>
          <w:numId w:val="7"/>
        </w:numPr>
        <w:tabs>
          <w:tab w:val="left" w:pos="567"/>
        </w:tabs>
        <w:spacing w:after="0" w:line="240" w:lineRule="auto"/>
        <w:ind w:left="0" w:firstLine="360"/>
        <w:jc w:val="both"/>
        <w:rPr>
          <w:rFonts w:ascii="Geometr706 Md TL" w:eastAsia="Calibri" w:hAnsi="Geometr706 Md TL"/>
          <w:sz w:val="20"/>
          <w:szCs w:val="20"/>
        </w:rPr>
      </w:pPr>
      <w:r w:rsidRPr="00AA3E3F">
        <w:rPr>
          <w:rFonts w:ascii="Geometr706 Md TL" w:eastAsia="Calibri" w:hAnsi="Geometr706 Md TL"/>
          <w:sz w:val="20"/>
          <w:szCs w:val="20"/>
        </w:rPr>
        <w:t>atsevišķos gadījumos mājaslapā izteikti speciālie piedāvājumi, kuru norādītais akcijas termiņš ir beidzies un kuru pasniegšanas veids maldina vai var maldināt patērētājus.</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r>
      <w:r w:rsidRPr="00AA3E3F">
        <w:rPr>
          <w:rFonts w:ascii="Geometr706 Md TL" w:eastAsia="Calibri" w:hAnsi="Geometr706 Md TL"/>
          <w:b/>
          <w:sz w:val="20"/>
          <w:szCs w:val="20"/>
        </w:rPr>
        <w:t xml:space="preserve">Projekta rezultāti: </w:t>
      </w:r>
      <w:r w:rsidRPr="00AA3E3F">
        <w:rPr>
          <w:rFonts w:ascii="Geometr706 Md TL" w:eastAsia="Calibri" w:hAnsi="Geometr706 Md TL"/>
          <w:sz w:val="20"/>
          <w:szCs w:val="20"/>
        </w:rPr>
        <w:t>21 gadījumā mājaslapās konstatētās neatbilstības ir novērstas labprātīgi; 9 lietu izskatīšana tika izbeigta, jo pēc PTAC darbībām mājaslapā tika mainījusies informācija, patērētājiem netika izteikti piedāvājumi vai mājaslapas tika slēgtas; 1 lietā PTAC pieņēma lēmumu pārkāpējam piemērot naudas sodu un uzdot izbeigt negodīgu komercpraksi.</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Izvērtējot iegūto informāciju, PTAC izstrādāja un 2014. gada 1. jūlijā apstiprināja „</w:t>
      </w:r>
      <w:r w:rsidRPr="00AA3E3F">
        <w:rPr>
          <w:rFonts w:ascii="Geometr706 Md TL" w:eastAsia="Calibri" w:hAnsi="Geometr706 Md TL"/>
          <w:sz w:val="20"/>
          <w:szCs w:val="20"/>
          <w:u w:val="single"/>
        </w:rPr>
        <w:t>Vadlīnijas godīgas komercprakses īstenošanai kolektīvās iepirkšanās jomā”</w:t>
      </w:r>
      <w:r w:rsidRPr="00AA3E3F">
        <w:rPr>
          <w:rFonts w:ascii="Geometr706 Md TL" w:eastAsia="Calibri" w:hAnsi="Geometr706 Md TL"/>
          <w:sz w:val="20"/>
          <w:szCs w:val="20"/>
        </w:rPr>
        <w:t>. Vadlīnijas palīdzēs kolektīvās iepirkšanās komercprakses īstenotājiem izprast galvenās normatīvo aktu prasības, lai pret patērētājiem nepieļautu negodīgas darbības un (vai) bezdarbību, tostarp nepiemērotu netaisnīgus līguma noteikumus. Šajā dokumentā aptvertas galvenās godīgas komercprakses īstenošanas prasības, īpašu uzmanību veltot būtiskās informācijas nodrošināšanai, netaisnīgiem līguma noteikumiem un tehnisko noteikumu izpildei atbilstoši profesionālās rūpības prasībām. Vadlīnijās ir atspoguļoti izplatītākie pārkāpumi un iespējamie to novēršanas (nepieļaušanas) risinājumi. Atsevišķa vērība veltīta kompleksajiem tūrisma pakalpojumiem šo pakalpojumu specifikas dēļ. Veicinot patērētāju informētības līmeņa paaugstināšanu, PTAC izstrādāja un publicēja mājaslapā padomus patērētājiem, iegādājoties preces un pakalpojumus kolektīvās iepirkšanās (kuponu) portālos.</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Lai izvērtētu, vai konkrētās nozares komersanti ievēro vadlīnijās ietvertos pamatprincipus, 2014. gadā tiks turpināta šīs jomas uzraudzība.</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 xml:space="preserve">2013. gadā PTAC uzsāka īstenot projektu par </w:t>
      </w:r>
      <w:r w:rsidRPr="00AA3E3F">
        <w:rPr>
          <w:rFonts w:ascii="Geometr706 Md TL" w:eastAsia="Calibri" w:hAnsi="Geometr706 Md TL"/>
          <w:b/>
          <w:sz w:val="20"/>
          <w:szCs w:val="20"/>
        </w:rPr>
        <w:t>komercpraksi, piedāvājot patērētājiem uztura bagātinātājus</w:t>
      </w:r>
      <w:r w:rsidRPr="00AA3E3F">
        <w:rPr>
          <w:rFonts w:ascii="Geometr706 Md TL" w:eastAsia="Calibri" w:hAnsi="Geometr706 Md TL"/>
          <w:sz w:val="20"/>
          <w:szCs w:val="20"/>
        </w:rPr>
        <w:t>.</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r>
      <w:r w:rsidRPr="00AA3E3F">
        <w:rPr>
          <w:rFonts w:ascii="Geometr706 Md TL" w:eastAsia="Calibri" w:hAnsi="Geometr706 Md TL"/>
          <w:b/>
          <w:sz w:val="20"/>
          <w:szCs w:val="20"/>
        </w:rPr>
        <w:t>Projekta mērķis</w:t>
      </w:r>
      <w:r w:rsidRPr="00AA3E3F">
        <w:rPr>
          <w:rFonts w:ascii="Geometr706 Md TL" w:eastAsia="Calibri" w:hAnsi="Geometr706 Md TL"/>
          <w:sz w:val="20"/>
          <w:szCs w:val="20"/>
        </w:rPr>
        <w:t>: izvērtēt komercprakses atbilstību patērētāju tiesību aizsardzību regulējošo normatīvo aktu prasībām uztura bagātinātāju jomā, novēršot konstatētos pārkāpumus. Galvenais mērķis ir panākt, lai patērētāji netiktu maldināti ar uztura bagātinātāju piedāvājumiem un saņemtu patiesu informāciju par to īpašībām.</w:t>
      </w:r>
    </w:p>
    <w:p w:rsidR="00256E7F" w:rsidRPr="00AA3E3F" w:rsidRDefault="00256E7F" w:rsidP="00AA3E3F">
      <w:pPr>
        <w:tabs>
          <w:tab w:val="left" w:pos="567"/>
        </w:tabs>
        <w:spacing w:line="240" w:lineRule="auto"/>
        <w:jc w:val="both"/>
        <w:rPr>
          <w:rFonts w:ascii="Geometr706 Md TL" w:eastAsia="Calibri" w:hAnsi="Geometr706 Md TL"/>
          <w:b/>
          <w:sz w:val="20"/>
          <w:szCs w:val="20"/>
        </w:rPr>
      </w:pPr>
      <w:r w:rsidRPr="00AA3E3F">
        <w:rPr>
          <w:rFonts w:ascii="Geometr706 Md TL" w:eastAsia="Calibri" w:hAnsi="Geometr706 Md TL"/>
          <w:sz w:val="20"/>
          <w:szCs w:val="20"/>
        </w:rPr>
        <w:tab/>
      </w:r>
      <w:r w:rsidRPr="00AA3E3F">
        <w:rPr>
          <w:rFonts w:ascii="Geometr706 Md TL" w:eastAsia="Calibri" w:hAnsi="Geometr706 Md TL"/>
          <w:b/>
          <w:sz w:val="20"/>
          <w:szCs w:val="20"/>
        </w:rPr>
        <w:t xml:space="preserve">Veiktās darbības: </w:t>
      </w:r>
      <w:r w:rsidRPr="00AA3E3F">
        <w:rPr>
          <w:rFonts w:ascii="Geometr706 Md TL" w:eastAsia="Calibri" w:hAnsi="Geometr706 Md TL"/>
          <w:sz w:val="20"/>
          <w:szCs w:val="20"/>
        </w:rPr>
        <w:t>kopš 2013. gada februāra PTAC pastiprināti veica monitoringu gan tiešsaistes vidē, gan ārpus tās. Izvērtējot komercpraksi uzņēmumos, kuri patērētājiem piedāvā uztura bagātinātājus, uzsāktas 24 lietas.</w:t>
      </w:r>
      <w:r w:rsidRPr="00AA3E3F">
        <w:rPr>
          <w:rFonts w:ascii="Geometr706 Md TL" w:hAnsi="Geometr706 Md TL"/>
          <w:sz w:val="20"/>
          <w:szCs w:val="20"/>
        </w:rPr>
        <w:t xml:space="preserve"> </w:t>
      </w:r>
      <w:r w:rsidRPr="00AA3E3F">
        <w:rPr>
          <w:rFonts w:ascii="Geometr706 Md TL" w:eastAsia="Calibri" w:hAnsi="Geometr706 Md TL"/>
          <w:sz w:val="20"/>
          <w:szCs w:val="20"/>
        </w:rPr>
        <w:t>PTAC visos gadījumos sazinājās ar komersantiem, lai novērstu pārkāpumus, pieprasot lietu izpētei nepieciešamo informāciju un aicinot labprātīgi novērst mājaslapās konstatētos pārkāpumus. PTAC veica pārrunas ar nozares komersantiem, skaidrojot normatīvo aktu prasības.</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lastRenderedPageBreak/>
        <w:tab/>
      </w:r>
      <w:r w:rsidRPr="00AA3E3F">
        <w:rPr>
          <w:rFonts w:ascii="Geometr706 Md TL" w:eastAsia="Calibri" w:hAnsi="Geometr706 Md TL"/>
          <w:b/>
          <w:sz w:val="20"/>
          <w:szCs w:val="20"/>
        </w:rPr>
        <w:t>Galvenie konstatētie pārkāpumi</w:t>
      </w:r>
      <w:r w:rsidRPr="00AA3E3F">
        <w:rPr>
          <w:rFonts w:ascii="Geometr706 Md TL" w:eastAsia="Calibri" w:hAnsi="Geometr706 Md TL"/>
          <w:sz w:val="20"/>
          <w:szCs w:val="20"/>
        </w:rPr>
        <w:t xml:space="preserve"> ir saistīti ar maldinošu un profesionālajai rūpībai neatbilstošu komercpraksi, uztura bagātinātājiem piedēvējot īpašības, kas tiem nepiemīt. Konkrētie produkti ir pārtikas produkti, tomēr netiek ievēroti normatīvajos aktos (tostarp ES regulās) paredzētie noteikumi par veselīguma norāžu izmantošanu. PTAC ir konstatējis arī gadījumus, kad patērētājiem tiek piedāvāti noteiktajā kārtībā nereģistrēti uztura bagātinātāji. PTAC vairākkārt ir aicinājis patērētājus būt īpaši vērīgiem, iegādājoties šāda veida produktus.</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 xml:space="preserve">Piemēram var minēt šādus reklāmās lietotos paziņojumus, piedēvējot nepatiesas </w:t>
      </w:r>
      <w:r w:rsidR="000A0AA3">
        <w:rPr>
          <w:rFonts w:ascii="Geometr706 Md TL" w:eastAsia="Calibri" w:hAnsi="Geometr706 Md TL"/>
          <w:sz w:val="20"/>
          <w:szCs w:val="20"/>
        </w:rPr>
        <w:t>īpašības uztura bagātinātājiem:</w:t>
      </w:r>
    </w:p>
    <w:p w:rsidR="00256E7F" w:rsidRPr="00AA3E3F" w:rsidRDefault="00256E7F" w:rsidP="00AA3E3F">
      <w:pPr>
        <w:shd w:val="clear" w:color="auto" w:fill="C6D9F1" w:themeFill="text2" w:themeFillTint="33"/>
        <w:tabs>
          <w:tab w:val="left" w:pos="567"/>
        </w:tabs>
        <w:spacing w:line="240" w:lineRule="auto"/>
        <w:jc w:val="both"/>
        <w:rPr>
          <w:rFonts w:ascii="Geometr706 Md TL" w:eastAsia="Calibri" w:hAnsi="Geometr706 Md TL"/>
          <w:i/>
          <w:sz w:val="20"/>
          <w:szCs w:val="20"/>
        </w:rPr>
      </w:pPr>
      <w:r w:rsidRPr="00AA3E3F">
        <w:rPr>
          <w:rFonts w:ascii="Geometr706 Md TL" w:eastAsia="Calibri" w:hAnsi="Geometr706 Md TL"/>
          <w:i/>
          <w:sz w:val="20"/>
          <w:szCs w:val="20"/>
        </w:rPr>
        <w:t>„Haizivju aknu eļļu, iepriekš konsultējoties ar ārstu, mēdz lietot arī krūts vēža, zarnu vēža, plaušu un priekšdziedzera vēža profilakses nolūkos.”</w:t>
      </w:r>
    </w:p>
    <w:p w:rsidR="00256E7F" w:rsidRPr="00AA3E3F" w:rsidRDefault="00256E7F" w:rsidP="000A0AA3">
      <w:pPr>
        <w:tabs>
          <w:tab w:val="left" w:pos="567"/>
        </w:tabs>
        <w:spacing w:after="0" w:line="240" w:lineRule="auto"/>
        <w:jc w:val="both"/>
        <w:rPr>
          <w:rFonts w:ascii="Geometr706 Md TL" w:eastAsia="Calibri" w:hAnsi="Geometr706 Md TL"/>
          <w:i/>
          <w:sz w:val="20"/>
          <w:szCs w:val="20"/>
        </w:rPr>
      </w:pPr>
    </w:p>
    <w:p w:rsidR="00256E7F" w:rsidRPr="00AA3E3F" w:rsidRDefault="00256E7F" w:rsidP="00AA3E3F">
      <w:pPr>
        <w:shd w:val="clear" w:color="auto" w:fill="C6D9F1" w:themeFill="text2" w:themeFillTint="33"/>
        <w:tabs>
          <w:tab w:val="left" w:pos="567"/>
        </w:tabs>
        <w:spacing w:line="240" w:lineRule="auto"/>
        <w:jc w:val="both"/>
        <w:rPr>
          <w:rFonts w:ascii="Geometr706 Md TL" w:eastAsia="Calibri" w:hAnsi="Geometr706 Md TL"/>
          <w:i/>
          <w:sz w:val="20"/>
          <w:szCs w:val="20"/>
        </w:rPr>
      </w:pPr>
      <w:r w:rsidRPr="00AA3E3F">
        <w:rPr>
          <w:rFonts w:ascii="Geometr706 Md TL" w:eastAsia="Calibri" w:hAnsi="Geometr706 Md TL"/>
          <w:i/>
          <w:sz w:val="20"/>
          <w:szCs w:val="20"/>
        </w:rPr>
        <w:t xml:space="preserve">„Spēcina organisma imūno sistēmu, dabisks antioksidants, kas iedarbojas uz vīrusiem un baktērijām. Propolisam piemīt antibakteriāla, pretvīrusu, pretsēnīšu, pretiekaisuma un </w:t>
      </w:r>
      <w:proofErr w:type="spellStart"/>
      <w:r w:rsidRPr="00AA3E3F">
        <w:rPr>
          <w:rFonts w:ascii="Geometr706 Md TL" w:eastAsia="Calibri" w:hAnsi="Geometr706 Md TL"/>
          <w:i/>
          <w:sz w:val="20"/>
          <w:szCs w:val="20"/>
        </w:rPr>
        <w:t>spazmolītiska</w:t>
      </w:r>
      <w:proofErr w:type="spellEnd"/>
      <w:r w:rsidRPr="00AA3E3F">
        <w:rPr>
          <w:rFonts w:ascii="Geometr706 Md TL" w:eastAsia="Calibri" w:hAnsi="Geometr706 Md TL"/>
          <w:i/>
          <w:sz w:val="20"/>
          <w:szCs w:val="20"/>
        </w:rPr>
        <w:t xml:space="preserve"> darbība. Propolisu lieto pie brūcēm, arī strutainām, pie </w:t>
      </w:r>
      <w:proofErr w:type="spellStart"/>
      <w:r w:rsidRPr="00AA3E3F">
        <w:rPr>
          <w:rFonts w:ascii="Geometr706 Md TL" w:eastAsia="Calibri" w:hAnsi="Geometr706 Md TL"/>
          <w:i/>
          <w:sz w:val="20"/>
          <w:szCs w:val="20"/>
        </w:rPr>
        <w:t>herpētiskiem</w:t>
      </w:r>
      <w:proofErr w:type="spellEnd"/>
      <w:r w:rsidRPr="00AA3E3F">
        <w:rPr>
          <w:rFonts w:ascii="Geometr706 Md TL" w:eastAsia="Calibri" w:hAnsi="Geometr706 Md TL"/>
          <w:i/>
          <w:sz w:val="20"/>
          <w:szCs w:val="20"/>
        </w:rPr>
        <w:t xml:space="preserve"> izsitumiem mutes dobumā, </w:t>
      </w:r>
      <w:proofErr w:type="spellStart"/>
      <w:r w:rsidRPr="00AA3E3F">
        <w:rPr>
          <w:rFonts w:ascii="Geometr706 Md TL" w:eastAsia="Calibri" w:hAnsi="Geometr706 Md TL"/>
          <w:i/>
          <w:sz w:val="20"/>
          <w:szCs w:val="20"/>
        </w:rPr>
        <w:t>tonsilīta</w:t>
      </w:r>
      <w:proofErr w:type="spellEnd"/>
      <w:r w:rsidRPr="00AA3E3F">
        <w:rPr>
          <w:rFonts w:ascii="Geometr706 Md TL" w:eastAsia="Calibri" w:hAnsi="Geometr706 Md TL"/>
          <w:i/>
          <w:sz w:val="20"/>
          <w:szCs w:val="20"/>
        </w:rPr>
        <w:t xml:space="preserve">, </w:t>
      </w:r>
      <w:proofErr w:type="spellStart"/>
      <w:r w:rsidRPr="00AA3E3F">
        <w:rPr>
          <w:rFonts w:ascii="Geometr706 Md TL" w:eastAsia="Calibri" w:hAnsi="Geometr706 Md TL"/>
          <w:i/>
          <w:sz w:val="20"/>
          <w:szCs w:val="20"/>
        </w:rPr>
        <w:t>faringīta</w:t>
      </w:r>
      <w:proofErr w:type="spellEnd"/>
      <w:r w:rsidRPr="00AA3E3F">
        <w:rPr>
          <w:rFonts w:ascii="Geometr706 Md TL" w:eastAsia="Calibri" w:hAnsi="Geometr706 Md TL"/>
          <w:i/>
          <w:sz w:val="20"/>
          <w:szCs w:val="20"/>
        </w:rPr>
        <w:t xml:space="preserve">, laringīta, stomatīta ārstēšanā, iekšķīgi pie gripas; ausu slimībās, </w:t>
      </w:r>
      <w:proofErr w:type="spellStart"/>
      <w:r w:rsidRPr="00AA3E3F">
        <w:rPr>
          <w:rFonts w:ascii="Geometr706 Md TL" w:eastAsia="Calibri" w:hAnsi="Geometr706 Md TL"/>
          <w:i/>
          <w:sz w:val="20"/>
          <w:szCs w:val="20"/>
        </w:rPr>
        <w:t>gastroenteroloģisko</w:t>
      </w:r>
      <w:proofErr w:type="spellEnd"/>
      <w:r w:rsidRPr="00AA3E3F">
        <w:rPr>
          <w:rFonts w:ascii="Geometr706 Md TL" w:eastAsia="Calibri" w:hAnsi="Geometr706 Md TL"/>
          <w:i/>
          <w:sz w:val="20"/>
          <w:szCs w:val="20"/>
        </w:rPr>
        <w:t>, ginekoloģisko slimību, artrīta ārstēšanā u. c. Propoliss pazemina asins recēšanu, asinsspiedienu un holesterīna daudzumu un darbojas kā antioksidants, tāpēc to ir lietderīgi izmantot pie sirds un asinsvadu slimībām. Tāpat propolisu lieto pie acu saslimšanām un tuberkulozes.”</w:t>
      </w:r>
    </w:p>
    <w:p w:rsidR="00256E7F" w:rsidRPr="00AA3E3F" w:rsidRDefault="00256E7F" w:rsidP="003179A2">
      <w:pPr>
        <w:tabs>
          <w:tab w:val="left" w:pos="567"/>
        </w:tabs>
        <w:spacing w:after="0" w:line="240" w:lineRule="auto"/>
        <w:jc w:val="both"/>
        <w:rPr>
          <w:rFonts w:ascii="Geometr706 Md TL" w:eastAsia="Calibri" w:hAnsi="Geometr706 Md TL"/>
          <w:i/>
          <w:sz w:val="20"/>
          <w:szCs w:val="20"/>
        </w:rPr>
      </w:pPr>
    </w:p>
    <w:p w:rsidR="00256E7F" w:rsidRPr="00AA3E3F" w:rsidRDefault="00256E7F" w:rsidP="00AA3E3F">
      <w:pPr>
        <w:shd w:val="clear" w:color="auto" w:fill="C6D9F1" w:themeFill="text2" w:themeFillTint="33"/>
        <w:tabs>
          <w:tab w:val="left" w:pos="567"/>
        </w:tabs>
        <w:spacing w:line="240" w:lineRule="auto"/>
        <w:jc w:val="both"/>
        <w:rPr>
          <w:rFonts w:ascii="Geometr706 Md TL" w:eastAsia="Calibri" w:hAnsi="Geometr706 Md TL"/>
          <w:i/>
          <w:sz w:val="20"/>
          <w:szCs w:val="20"/>
        </w:rPr>
      </w:pPr>
      <w:r w:rsidRPr="00AA3E3F">
        <w:rPr>
          <w:rFonts w:ascii="Geometr706 Md TL" w:eastAsia="Calibri" w:hAnsi="Geometr706 Md TL"/>
          <w:i/>
          <w:sz w:val="20"/>
          <w:szCs w:val="20"/>
        </w:rPr>
        <w:t>„Koenzīmam Q10 piemīt antioksidanta īpašības, kas aizsargā pret cilvēka organisma pavājināšanos, ko izraisa brīvie radikāļi, palīdz nodrošināt enerģiju regulārai sirds muskulatūras darbībai un novērst tās vājināšanos, svarīgs veselu zobu un smaganu saglabāšanai, pozitīvi ietekmē vielmaiņu, labvēlīgi ietekmē fiziskas aktivitātes.”</w:t>
      </w:r>
    </w:p>
    <w:p w:rsidR="00256E7F" w:rsidRPr="00AA3E3F" w:rsidRDefault="00256E7F" w:rsidP="000A0AA3">
      <w:pPr>
        <w:tabs>
          <w:tab w:val="left" w:pos="567"/>
        </w:tabs>
        <w:spacing w:after="0" w:line="240" w:lineRule="auto"/>
        <w:jc w:val="both"/>
        <w:rPr>
          <w:rFonts w:ascii="Geometr706 Md TL" w:eastAsia="Calibri" w:hAnsi="Geometr706 Md TL"/>
          <w:i/>
          <w:sz w:val="20"/>
          <w:szCs w:val="20"/>
        </w:rPr>
      </w:pPr>
    </w:p>
    <w:p w:rsidR="00256E7F" w:rsidRDefault="00256E7F" w:rsidP="00AA3E3F">
      <w:pPr>
        <w:shd w:val="clear" w:color="auto" w:fill="C6D9F1" w:themeFill="text2" w:themeFillTint="33"/>
        <w:tabs>
          <w:tab w:val="left" w:pos="567"/>
        </w:tabs>
        <w:spacing w:line="240" w:lineRule="auto"/>
        <w:jc w:val="both"/>
        <w:rPr>
          <w:rFonts w:ascii="Geometr706 Md TL" w:eastAsia="Calibri" w:hAnsi="Geometr706 Md TL"/>
          <w:i/>
          <w:sz w:val="20"/>
          <w:szCs w:val="20"/>
        </w:rPr>
      </w:pPr>
      <w:r w:rsidRPr="00AA3E3F">
        <w:rPr>
          <w:rFonts w:ascii="Geometr706 Md TL" w:eastAsia="Calibri" w:hAnsi="Geometr706 Md TL"/>
          <w:i/>
          <w:sz w:val="20"/>
          <w:szCs w:val="20"/>
        </w:rPr>
        <w:t xml:space="preserve">„SOLURO dzērveņu koncentrāts labvēlīgi ietekmē urīnceļu veselību. Interesanti, ka urīnceļu ārstēšana ar dzērveņu preparātiem tiek uzskatīta par drošāku nekā ar antibiotikām. SOLURO ir piemērots lietošanai cilvēkiem pie urīnceļu infekcijām, nierakmeņu veidošanās profilaksei, pie dzimumorgānu </w:t>
      </w:r>
      <w:proofErr w:type="spellStart"/>
      <w:r w:rsidRPr="00AA3E3F">
        <w:rPr>
          <w:rFonts w:ascii="Geometr706 Md TL" w:eastAsia="Calibri" w:hAnsi="Geometr706 Md TL"/>
          <w:i/>
          <w:sz w:val="20"/>
          <w:szCs w:val="20"/>
        </w:rPr>
        <w:t>herpes</w:t>
      </w:r>
      <w:proofErr w:type="spellEnd"/>
      <w:r w:rsidRPr="00AA3E3F">
        <w:rPr>
          <w:rFonts w:ascii="Geometr706 Md TL" w:eastAsia="Calibri" w:hAnsi="Geometr706 Md TL"/>
          <w:i/>
          <w:sz w:val="20"/>
          <w:szCs w:val="20"/>
        </w:rPr>
        <w:t xml:space="preserve"> infekcijas, pie urīna nesaturēšanas, palielinātas prostatas, ja iepriekš bijusi kāda nieru slimība (urinēšanas traucējumi, atplūdi, </w:t>
      </w:r>
      <w:proofErr w:type="spellStart"/>
      <w:r w:rsidRPr="00AA3E3F">
        <w:rPr>
          <w:rFonts w:ascii="Geometr706 Md TL" w:eastAsia="Calibri" w:hAnsi="Geometr706 Md TL"/>
          <w:i/>
          <w:sz w:val="20"/>
          <w:szCs w:val="20"/>
        </w:rPr>
        <w:t>urīntrakta</w:t>
      </w:r>
      <w:proofErr w:type="spellEnd"/>
      <w:r w:rsidRPr="00AA3E3F">
        <w:rPr>
          <w:rFonts w:ascii="Geometr706 Md TL" w:eastAsia="Calibri" w:hAnsi="Geometr706 Md TL"/>
          <w:i/>
          <w:sz w:val="20"/>
          <w:szCs w:val="20"/>
        </w:rPr>
        <w:t xml:space="preserve"> patoloģija).</w:t>
      </w:r>
    </w:p>
    <w:p w:rsidR="000A0AA3" w:rsidRPr="00AA3E3F" w:rsidRDefault="000A0AA3" w:rsidP="000A0AA3">
      <w:pPr>
        <w:tabs>
          <w:tab w:val="left" w:pos="567"/>
        </w:tabs>
        <w:spacing w:after="0" w:line="240" w:lineRule="auto"/>
        <w:jc w:val="both"/>
        <w:rPr>
          <w:rFonts w:ascii="Geometr706 Md TL" w:eastAsia="Calibri" w:hAnsi="Geometr706 Md TL"/>
          <w:i/>
          <w:sz w:val="20"/>
          <w:szCs w:val="20"/>
        </w:rPr>
      </w:pPr>
    </w:p>
    <w:p w:rsidR="00256E7F" w:rsidRPr="00AA3E3F" w:rsidRDefault="00256E7F" w:rsidP="00AA3E3F">
      <w:pPr>
        <w:shd w:val="clear" w:color="auto" w:fill="C6D9F1" w:themeFill="text2" w:themeFillTint="33"/>
        <w:tabs>
          <w:tab w:val="left" w:pos="567"/>
        </w:tabs>
        <w:spacing w:line="240" w:lineRule="auto"/>
        <w:jc w:val="both"/>
        <w:rPr>
          <w:rFonts w:ascii="Geometr706 Md TL" w:eastAsia="Calibri" w:hAnsi="Geometr706 Md TL"/>
          <w:i/>
          <w:sz w:val="20"/>
          <w:szCs w:val="20"/>
        </w:rPr>
      </w:pPr>
      <w:proofErr w:type="spellStart"/>
      <w:r w:rsidRPr="00AA3E3F">
        <w:rPr>
          <w:rFonts w:ascii="Geometr706 Md TL" w:eastAsia="Calibri" w:hAnsi="Geometr706 Md TL"/>
          <w:i/>
          <w:sz w:val="20"/>
          <w:szCs w:val="20"/>
        </w:rPr>
        <w:t>Benzoskābei</w:t>
      </w:r>
      <w:proofErr w:type="spellEnd"/>
      <w:r w:rsidRPr="00AA3E3F">
        <w:rPr>
          <w:rFonts w:ascii="Geometr706 Md TL" w:eastAsia="Calibri" w:hAnsi="Geometr706 Md TL"/>
          <w:i/>
          <w:sz w:val="20"/>
          <w:szCs w:val="20"/>
        </w:rPr>
        <w:t xml:space="preserve"> ir antiseptiska un fungicīda darbība. Tā nomāc patogēnā mikroorganisma </w:t>
      </w:r>
      <w:proofErr w:type="spellStart"/>
      <w:r w:rsidRPr="00AA3E3F">
        <w:rPr>
          <w:rFonts w:ascii="Geometr706 Md TL" w:eastAsia="Calibri" w:hAnsi="Geometr706 Md TL"/>
          <w:i/>
          <w:sz w:val="20"/>
          <w:szCs w:val="20"/>
        </w:rPr>
        <w:t>fermentatīvo</w:t>
      </w:r>
      <w:proofErr w:type="spellEnd"/>
      <w:r w:rsidRPr="00AA3E3F">
        <w:rPr>
          <w:rFonts w:ascii="Geometr706 Md TL" w:eastAsia="Calibri" w:hAnsi="Geometr706 Md TL"/>
          <w:i/>
          <w:sz w:val="20"/>
          <w:szCs w:val="20"/>
        </w:rPr>
        <w:t xml:space="preserve"> sistēmu un ietekmē baktēriju šūnu membrānas. Iekļūstot šūnā, samazina tās iekšējās vides </w:t>
      </w:r>
      <w:proofErr w:type="spellStart"/>
      <w:r w:rsidRPr="00AA3E3F">
        <w:rPr>
          <w:rFonts w:ascii="Geometr706 Md TL" w:eastAsia="Calibri" w:hAnsi="Geometr706 Md TL"/>
          <w:i/>
          <w:sz w:val="20"/>
          <w:szCs w:val="20"/>
        </w:rPr>
        <w:t>pH</w:t>
      </w:r>
      <w:proofErr w:type="spellEnd"/>
      <w:r w:rsidRPr="00AA3E3F">
        <w:rPr>
          <w:rFonts w:ascii="Geometr706 Md TL" w:eastAsia="Calibri" w:hAnsi="Geometr706 Md TL"/>
          <w:i/>
          <w:sz w:val="20"/>
          <w:szCs w:val="20"/>
        </w:rPr>
        <w:t>, kas palēnina mikroorganisma attīstību, kā rezultātā tas iet bojā.”</w:t>
      </w:r>
    </w:p>
    <w:p w:rsidR="00256E7F" w:rsidRPr="00AA3E3F" w:rsidRDefault="00256E7F" w:rsidP="00AA3E3F">
      <w:pPr>
        <w:shd w:val="clear" w:color="auto" w:fill="C6D9F1" w:themeFill="text2" w:themeFillTint="33"/>
        <w:tabs>
          <w:tab w:val="left" w:pos="567"/>
        </w:tabs>
        <w:spacing w:line="240" w:lineRule="auto"/>
        <w:jc w:val="both"/>
        <w:rPr>
          <w:rFonts w:ascii="Geometr706 Md TL" w:eastAsia="Calibri" w:hAnsi="Geometr706 Md TL"/>
          <w:sz w:val="20"/>
          <w:szCs w:val="20"/>
        </w:rPr>
      </w:pP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PTAC ir atzinis šādu komercpraksi par negodīgu, un iestādes darbības rezultātā šādi paziņojumi vairs netiek izplatīti.</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b/>
          <w:sz w:val="20"/>
          <w:szCs w:val="20"/>
        </w:rPr>
        <w:t xml:space="preserve">Projekta rezultāti: </w:t>
      </w:r>
      <w:r w:rsidRPr="00AA3E3F">
        <w:rPr>
          <w:rFonts w:ascii="Geometr706 Md TL" w:eastAsia="Calibri" w:hAnsi="Geometr706 Md TL"/>
          <w:sz w:val="20"/>
          <w:szCs w:val="20"/>
        </w:rPr>
        <w:t>16 lietu izskatīšana ir pabeigta: pēc veiktās izpētes 3 gadījumos pārkāpumi netika konstatēti, 9 gadījumos ir izteikts ierosinājums veikt labprātīgas darbības pārkāpumu novēršanai, 4 lietu izskatīšana ir pabeigta, pēc izteiktā ierosinājuma komercprakses īstenotājiem labprātīgi pilnībā novēršot pārkāpumus; 1 gadījumā PTAC, konstatējot pārkāpumus un izmantojot Eiropas Patērētāju aizsardzības sadarbības sistēmu (</w:t>
      </w:r>
      <w:r w:rsidRPr="00AA3E3F">
        <w:rPr>
          <w:rFonts w:ascii="Geometr706 Md TL" w:eastAsia="Calibri" w:hAnsi="Geometr706 Md TL"/>
          <w:i/>
          <w:sz w:val="20"/>
          <w:szCs w:val="20"/>
        </w:rPr>
        <w:t>CPCS</w:t>
      </w:r>
      <w:r w:rsidRPr="00AA3E3F">
        <w:rPr>
          <w:rFonts w:ascii="Geometr706 Md TL" w:eastAsia="Calibri" w:hAnsi="Geometr706 Md TL"/>
          <w:sz w:val="20"/>
          <w:szCs w:val="20"/>
        </w:rPr>
        <w:t xml:space="preserve">), nosūtīja pieprasījumu kompetentajai Lietuvas iestādei, kas pārkāpējam piemēroja administratīvo sodu; 8 lietas ir pabeigtas, pēc PTAC iejaukšanās uzņēmējiem labprātīgi novēršot pārkāpumus. Pārējos gadījumos </w:t>
      </w:r>
      <w:r w:rsidRPr="00AA3E3F">
        <w:rPr>
          <w:rFonts w:ascii="Geometr706 Md TL" w:eastAsia="Calibri" w:hAnsi="Geometr706 Md TL"/>
          <w:sz w:val="20"/>
          <w:szCs w:val="20"/>
        </w:rPr>
        <w:lastRenderedPageBreak/>
        <w:t>lietu izpēte turpinās, komercprakses īstenotājiem ir pieprasīta lietu izskatīšanai nepieciešamā informācija.</w:t>
      </w:r>
    </w:p>
    <w:p w:rsidR="00256E7F" w:rsidRPr="00AA3E3F" w:rsidRDefault="00256E7F" w:rsidP="00AA3E3F">
      <w:pPr>
        <w:tabs>
          <w:tab w:val="left" w:pos="567"/>
        </w:tabs>
        <w:spacing w:line="240" w:lineRule="auto"/>
        <w:jc w:val="both"/>
        <w:rPr>
          <w:rFonts w:ascii="Geometr706 Md TL" w:eastAsia="Calibri" w:hAnsi="Geometr706 Md TL"/>
          <w:b/>
          <w:sz w:val="20"/>
          <w:szCs w:val="20"/>
        </w:rPr>
      </w:pPr>
      <w:r w:rsidRPr="00AA3E3F">
        <w:rPr>
          <w:rFonts w:ascii="Geometr706 Md TL" w:eastAsia="Calibri" w:hAnsi="Geometr706 Md TL"/>
          <w:sz w:val="20"/>
          <w:szCs w:val="20"/>
        </w:rPr>
        <w:tab/>
        <w:t>Kopumā PTAC darbības rezultātā komercprakses īstenošana uztura bagātinātāju piedāvājumos ir uzlabojusies, komersanti ir kļuvuši informētāki par normatīvo aktu prasībām. Tomēr, ievērojot konstatētos pārkāpumus un jomas ietekmi uz patērētāju veselību, PTAC turpinās šīs jomas komercprakses uzraudzību arī 2014. gadā.</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 xml:space="preserve">2013. gada 7. maijā tika uzsākts īstenot uzraudzības projektu </w:t>
      </w:r>
      <w:r w:rsidRPr="00AA3E3F">
        <w:rPr>
          <w:rFonts w:ascii="Geometr706 Md TL" w:eastAsia="Calibri" w:hAnsi="Geometr706 Md TL"/>
          <w:b/>
          <w:sz w:val="20"/>
          <w:szCs w:val="20"/>
        </w:rPr>
        <w:t>„Cenu salīdzināšanas mājaslapās īstenotās komercprakses uzraudzība”</w:t>
      </w:r>
      <w:r w:rsidRPr="00AA3E3F">
        <w:rPr>
          <w:rFonts w:ascii="Geometr706 Md TL" w:eastAsia="Calibri" w:hAnsi="Geometr706 Md TL"/>
          <w:sz w:val="20"/>
          <w:szCs w:val="20"/>
        </w:rPr>
        <w:t>.</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r>
      <w:r w:rsidRPr="00AA3E3F">
        <w:rPr>
          <w:rFonts w:ascii="Geometr706 Md TL" w:eastAsia="Calibri" w:hAnsi="Geometr706 Md TL"/>
          <w:b/>
          <w:sz w:val="20"/>
          <w:szCs w:val="20"/>
        </w:rPr>
        <w:t>Projekta mērķis</w:t>
      </w:r>
      <w:r w:rsidRPr="00AA3E3F">
        <w:rPr>
          <w:rFonts w:ascii="Geometr706 Md TL" w:eastAsia="Calibri" w:hAnsi="Geometr706 Md TL"/>
          <w:sz w:val="20"/>
          <w:szCs w:val="20"/>
        </w:rPr>
        <w:t>: uzraudzīt komercpraksi, izvērtējot populārākās Latvijas interneta cenu salīdzināšanas mājaslapas un novēršot konstatētos pārkāpumus, uzlabot patērētāju aizsardzību un preču un pakalpojumu objektīvu salīdzināmību e-komercijas vidē.</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r>
      <w:r w:rsidRPr="00AA3E3F">
        <w:rPr>
          <w:rFonts w:ascii="Geometr706 Md TL" w:eastAsia="Calibri" w:hAnsi="Geometr706 Md TL"/>
          <w:b/>
          <w:sz w:val="20"/>
          <w:szCs w:val="20"/>
        </w:rPr>
        <w:t xml:space="preserve">Veiktās darbības: </w:t>
      </w:r>
      <w:r w:rsidRPr="00AA3E3F">
        <w:rPr>
          <w:rFonts w:ascii="Geometr706 Md TL" w:eastAsia="Calibri" w:hAnsi="Geometr706 Md TL"/>
          <w:sz w:val="20"/>
          <w:szCs w:val="20"/>
        </w:rPr>
        <w:t xml:space="preserve">projekta ietvaros ir izvērtētas 12 cenu salīdzināšanas mājaslapas. 6 uzsāktajās lietās ir vērtēta cenu salīdzināšanas vietņu uzturētāju komercprakses atbilstība, bet pārējās 6 lietas ir uzsāktas, </w:t>
      </w:r>
      <w:proofErr w:type="spellStart"/>
      <w:r w:rsidRPr="00AA3E3F">
        <w:rPr>
          <w:rFonts w:ascii="Geometr706 Md TL" w:eastAsia="Calibri" w:hAnsi="Geometr706 Md TL"/>
          <w:sz w:val="20"/>
          <w:szCs w:val="20"/>
        </w:rPr>
        <w:t>pirmšķietami</w:t>
      </w:r>
      <w:proofErr w:type="spellEnd"/>
      <w:r w:rsidRPr="00AA3E3F">
        <w:rPr>
          <w:rFonts w:ascii="Geometr706 Md TL" w:eastAsia="Calibri" w:hAnsi="Geometr706 Md TL"/>
          <w:sz w:val="20"/>
          <w:szCs w:val="20"/>
        </w:rPr>
        <w:t xml:space="preserve"> konstatējot pārkāpumus, kas saistīti ar tirgotāju īstenoto komercpraksi, preču piedāvājumam izmantojot cenu salīdzināšanu interneta mājaslapās. Lietu izpētes ietvaros galvenā uzmanība tika pievērsta informācijai par vietnes uzturētāju (informācijas sabiedrības pakalpojumu sniedzēju) un tā rīcības atbilstībai profesionālās rūpības prasībām, nodrošinot tiešsaistes cenu salīdzināšanas pakalpojumus patērētājiem, piemēram, izvērtējot, kādā veidā un pēc kādiem kritērijiem patērētājiem tiek nodrošināta vietnē piedāvāto cenu salīdzināmība; vai un kādā veidā tiek kontrolēta vietnē izvietoto preču un pakalpojumu piedāvājumu atbilstība; vai cenu salīdzināšanas vietnēs izvietoto piedāvājumu cenās ir iekļautas preču piegādes izmaksas un kādā veidā patērētāji tiek informēti par preču piegādes un citām pasūtījuma noformēšanas un izpildes izmaksām u. c.</w:t>
      </w:r>
    </w:p>
    <w:p w:rsidR="00256E7F" w:rsidRPr="00AA3E3F" w:rsidRDefault="00256E7F" w:rsidP="00AA3E3F">
      <w:pPr>
        <w:tabs>
          <w:tab w:val="left" w:pos="567"/>
        </w:tabs>
        <w:spacing w:line="240" w:lineRule="auto"/>
        <w:jc w:val="both"/>
        <w:rPr>
          <w:rFonts w:ascii="Geometr706 Md TL" w:eastAsia="Calibri" w:hAnsi="Geometr706 Md TL"/>
          <w:b/>
          <w:sz w:val="20"/>
          <w:szCs w:val="20"/>
        </w:rPr>
      </w:pPr>
      <w:r w:rsidRPr="00AA3E3F">
        <w:rPr>
          <w:rFonts w:ascii="Geometr706 Md TL" w:eastAsia="Calibri" w:hAnsi="Geometr706 Md TL"/>
          <w:sz w:val="20"/>
          <w:szCs w:val="20"/>
        </w:rPr>
        <w:tab/>
        <w:t>Lai veiktu pilnīgu un vispusīgu lietu izpēti, PTAC sazinājās ar komercprakses īstenotājiem, lai iegūtu lietu izskatīšanai nepieciešamo informāciju un pierādījumus. 2014. gadā projekta īstenošana tiks turpināta.</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 xml:space="preserve">PTAC 2012. gadā uzsāka un 2013. gadā turpināja uzraudzības projektu </w:t>
      </w:r>
      <w:r w:rsidRPr="00AA3E3F">
        <w:rPr>
          <w:rFonts w:ascii="Geometr706 Md TL" w:eastAsia="Calibri" w:hAnsi="Geometr706 Md TL"/>
          <w:b/>
          <w:sz w:val="20"/>
          <w:szCs w:val="20"/>
        </w:rPr>
        <w:t>„Līgumu noteikumu un komercprakses / reklāmas uzraudzība saistībā ar patērētāju tiesības reglamentējošo normatīvo aktu ievērošanu patērētāju kreditēšanas jomā”</w:t>
      </w:r>
      <w:r w:rsidRPr="00AA3E3F">
        <w:rPr>
          <w:rFonts w:ascii="Geometr706 Md TL" w:eastAsia="Calibri" w:hAnsi="Geometr706 Md TL"/>
          <w:sz w:val="20"/>
          <w:szCs w:val="20"/>
        </w:rPr>
        <w:t>.</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r>
      <w:r w:rsidRPr="00AA3E3F">
        <w:rPr>
          <w:rFonts w:ascii="Geometr706 Md TL" w:eastAsia="Calibri" w:hAnsi="Geometr706 Md TL"/>
          <w:b/>
          <w:sz w:val="20"/>
          <w:szCs w:val="20"/>
        </w:rPr>
        <w:t>Projekta mērķis</w:t>
      </w:r>
      <w:r w:rsidRPr="00AA3E3F">
        <w:rPr>
          <w:rFonts w:ascii="Geometr706 Md TL" w:eastAsia="Calibri" w:hAnsi="Geometr706 Md TL"/>
          <w:sz w:val="20"/>
          <w:szCs w:val="20"/>
        </w:rPr>
        <w:t>: konstatēt un novērst Negodīgas komercprakses aizlieguma likumā noteiktos pārkāpumus tādu uzņēmumu komercpraksē, kuri piedāvā patērētājiem kreditēšanas pakalpojumus, vēršot uzmanību uz netaisnīgu līguma noteikumu iekļaušanu patērētājiem piedāvātajos līgumu projektos un to piemērošanu jau noslēgtajos līgumos ar patērētājiem.</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r>
      <w:r w:rsidRPr="00AA3E3F">
        <w:rPr>
          <w:rFonts w:ascii="Geometr706 Md TL" w:eastAsia="Calibri" w:hAnsi="Geometr706 Md TL"/>
          <w:b/>
          <w:sz w:val="20"/>
          <w:szCs w:val="20"/>
        </w:rPr>
        <w:t xml:space="preserve">Veiktās darbības: </w:t>
      </w:r>
      <w:r w:rsidRPr="00AA3E3F">
        <w:rPr>
          <w:rFonts w:ascii="Geometr706 Md TL" w:eastAsia="Calibri" w:hAnsi="Geometr706 Md TL"/>
          <w:sz w:val="20"/>
          <w:szCs w:val="20"/>
        </w:rPr>
        <w:t>saistībā ar patērētāju kreditēšanas jomu 2012. gada beigās un 2013. gadā tika uzsāktas 32 administratīvās lietas. Uzsākto lietu ietvaros tika izvērtētas patērētāju kreditēšanas pakalpojumu sniedzēju izplatītās reklāmas, īpašu uzmanību pievēršot tām, kas varētu veicināt bezatbildīgu aizņemšanos. Tika izvērtēti patērētāju līgumi un kredītu devēju (gan nebanku kreditētāju, gan kredītiestāžu) sniegtā pirmslīguma informācija.</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 xml:space="preserve">Saistībā ar konstatētajām problēmām kredītiestāžu līgumu projektos un </w:t>
      </w:r>
      <w:proofErr w:type="spellStart"/>
      <w:r w:rsidRPr="00AA3E3F">
        <w:rPr>
          <w:rFonts w:ascii="Geometr706 Md TL" w:eastAsia="Calibri" w:hAnsi="Geometr706 Md TL"/>
          <w:sz w:val="20"/>
          <w:szCs w:val="20"/>
        </w:rPr>
        <w:t>standartinformācijas</w:t>
      </w:r>
      <w:proofErr w:type="spellEnd"/>
      <w:r w:rsidRPr="00AA3E3F">
        <w:rPr>
          <w:rFonts w:ascii="Geometr706 Md TL" w:eastAsia="Calibri" w:hAnsi="Geometr706 Md TL"/>
          <w:sz w:val="20"/>
          <w:szCs w:val="20"/>
        </w:rPr>
        <w:t xml:space="preserve"> veidlapās, PTAC pārstāvji 2013. gada 12. martā tikās ar Latvijas Komercbanku asociācijas pārstāvjiem, pārrunājot galvenās projekta ietvaros konstatētās problēmas.</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lastRenderedPageBreak/>
        <w:tab/>
      </w:r>
      <w:r w:rsidRPr="00AA3E3F">
        <w:rPr>
          <w:rFonts w:ascii="Geometr706 Md TL" w:eastAsia="Calibri" w:hAnsi="Geometr706 Md TL"/>
          <w:b/>
          <w:sz w:val="20"/>
          <w:szCs w:val="20"/>
        </w:rPr>
        <w:t>Galvenie konstatētie pārkāpumi</w:t>
      </w:r>
      <w:r w:rsidRPr="00AA3E3F">
        <w:rPr>
          <w:rFonts w:ascii="Geometr706 Md TL" w:eastAsia="Calibri" w:hAnsi="Geometr706 Md TL"/>
          <w:sz w:val="20"/>
          <w:szCs w:val="20"/>
        </w:rPr>
        <w:t xml:space="preserve"> ir saistīti ar negodīgas komercprakses īstenošanu, pieļaujot profesionālai rūpībai neatbilstošu komercpraksi: nepietiekami izvērtējot patērētāja maksātspēju pirms patērētāja kreditēšanas līguma noslēgšanas, ar patērētājiem noslēgtajos līgumos iekļaujot netaisnīgus līguma noteikumus, maldinot par līgumā norādīto procentu likmi, kā arī izplatot kreditēšanas reklāmas, kuras veicina bezatbildīgu aizņemšanos.</w:t>
      </w:r>
    </w:p>
    <w:p w:rsidR="00256E7F" w:rsidRPr="00AA3E3F" w:rsidRDefault="00256E7F" w:rsidP="00AA3E3F">
      <w:pPr>
        <w:tabs>
          <w:tab w:val="left" w:pos="567"/>
        </w:tabs>
        <w:spacing w:line="240" w:lineRule="auto"/>
        <w:jc w:val="both"/>
        <w:rPr>
          <w:rFonts w:ascii="Geometr706 Md TL" w:eastAsia="Calibri" w:hAnsi="Geometr706 Md TL"/>
          <w:b/>
          <w:sz w:val="20"/>
          <w:szCs w:val="20"/>
        </w:rPr>
      </w:pPr>
      <w:r w:rsidRPr="00AA3E3F">
        <w:rPr>
          <w:rFonts w:ascii="Geometr706 Md TL" w:eastAsia="Calibri" w:hAnsi="Geometr706 Md TL"/>
          <w:sz w:val="20"/>
          <w:szCs w:val="20"/>
        </w:rPr>
        <w:tab/>
      </w:r>
      <w:r w:rsidRPr="00AA3E3F">
        <w:rPr>
          <w:rFonts w:ascii="Geometr706 Md TL" w:eastAsia="Calibri" w:hAnsi="Geometr706 Md TL"/>
          <w:b/>
          <w:sz w:val="20"/>
          <w:szCs w:val="20"/>
        </w:rPr>
        <w:t>Uzsākto lietu ietvaros:</w:t>
      </w:r>
    </w:p>
    <w:p w:rsidR="00256E7F" w:rsidRPr="00AA3E3F" w:rsidRDefault="00256E7F" w:rsidP="00AA3E3F">
      <w:pPr>
        <w:numPr>
          <w:ilvl w:val="0"/>
          <w:numId w:val="8"/>
        </w:numPr>
        <w:tabs>
          <w:tab w:val="left" w:pos="567"/>
        </w:tabs>
        <w:spacing w:after="0" w:line="240" w:lineRule="auto"/>
        <w:ind w:left="0" w:firstLine="360"/>
        <w:jc w:val="both"/>
        <w:rPr>
          <w:rFonts w:ascii="Geometr706 Md TL" w:eastAsia="Calibri" w:hAnsi="Geometr706 Md TL"/>
          <w:sz w:val="20"/>
          <w:szCs w:val="20"/>
        </w:rPr>
      </w:pPr>
      <w:r w:rsidRPr="00AA3E3F">
        <w:rPr>
          <w:rFonts w:ascii="Geometr706 Md TL" w:eastAsia="Calibri" w:hAnsi="Geometr706 Md TL"/>
          <w:sz w:val="20"/>
          <w:szCs w:val="20"/>
        </w:rPr>
        <w:t>komersants atzina konstatēto pārkāpumu, labprātīgi novēršot profesionālajai rūpībai neatbilstošu komercpraksi, izsūtot parādniekiem vēstules, uz kurām norādīta informācija „Brīdinājums” vai „Atgādinājums”, tādējādi paužot, ka vēstules adresāts ir parādnieks;</w:t>
      </w:r>
    </w:p>
    <w:p w:rsidR="00256E7F" w:rsidRPr="00AA3E3F" w:rsidRDefault="00256E7F" w:rsidP="00AA3E3F">
      <w:pPr>
        <w:numPr>
          <w:ilvl w:val="0"/>
          <w:numId w:val="8"/>
        </w:numPr>
        <w:tabs>
          <w:tab w:val="left" w:pos="567"/>
        </w:tabs>
        <w:spacing w:after="0" w:line="240" w:lineRule="auto"/>
        <w:ind w:left="0" w:firstLine="360"/>
        <w:jc w:val="both"/>
        <w:rPr>
          <w:rFonts w:ascii="Geometr706 Md TL" w:eastAsia="Calibri" w:hAnsi="Geometr706 Md TL"/>
          <w:sz w:val="20"/>
          <w:szCs w:val="20"/>
        </w:rPr>
      </w:pPr>
      <w:r w:rsidRPr="00AA3E3F">
        <w:rPr>
          <w:rFonts w:ascii="Geometr706 Md TL" w:eastAsia="Calibri" w:hAnsi="Geometr706 Md TL"/>
          <w:sz w:val="20"/>
          <w:szCs w:val="20"/>
        </w:rPr>
        <w:t xml:space="preserve">novērsta platformu </w:t>
      </w:r>
      <w:proofErr w:type="spellStart"/>
      <w:r w:rsidRPr="00AA3E3F">
        <w:rPr>
          <w:rFonts w:ascii="Geometr706 Md TL" w:eastAsia="Calibri" w:hAnsi="Geometr706 Md TL"/>
          <w:i/>
          <w:sz w:val="20"/>
          <w:szCs w:val="20"/>
        </w:rPr>
        <w:t>peer-to-peer</w:t>
      </w:r>
      <w:proofErr w:type="spellEnd"/>
      <w:r w:rsidRPr="00AA3E3F">
        <w:rPr>
          <w:rFonts w:ascii="Geometr706 Md TL" w:eastAsia="Calibri" w:hAnsi="Geometr706 Md TL"/>
          <w:sz w:val="20"/>
          <w:szCs w:val="20"/>
        </w:rPr>
        <w:t xml:space="preserve"> darbība Latvijā, PTAC informējot par konkrētas mājaslapas neatbilstību normatīvo aktu prasībām, kā arī sniedzot vairākām privātpersonām skaidrojumu par šādu platformu prettiesiskumu. Rezultātā komersants labprātīgi slēdza piekļuvi mājaslapai;</w:t>
      </w:r>
    </w:p>
    <w:p w:rsidR="00256E7F" w:rsidRPr="00AA3E3F" w:rsidRDefault="00256E7F" w:rsidP="00AA3E3F">
      <w:pPr>
        <w:numPr>
          <w:ilvl w:val="0"/>
          <w:numId w:val="8"/>
        </w:numPr>
        <w:spacing w:after="0" w:line="240" w:lineRule="auto"/>
        <w:ind w:left="0" w:firstLine="360"/>
        <w:jc w:val="both"/>
        <w:rPr>
          <w:rFonts w:ascii="Geometr706 Md TL" w:eastAsia="Calibri" w:hAnsi="Geometr706 Md TL"/>
          <w:sz w:val="20"/>
          <w:szCs w:val="20"/>
        </w:rPr>
      </w:pPr>
      <w:r w:rsidRPr="00AA3E3F">
        <w:rPr>
          <w:rFonts w:ascii="Geometr706 Md TL" w:eastAsia="Calibri" w:hAnsi="Geometr706 Md TL"/>
          <w:sz w:val="20"/>
          <w:szCs w:val="20"/>
        </w:rPr>
        <w:t>2013. gada 1. jūlijā ir pieņemts lēmums, ar kuru AS „4finance” piemērots LVL 3000 administratīvais sods par negodīgu komercpraksi, veicinot patērētāju bezatbildīgu aizņemšanos un motivējot patērētāju pieņemt nepārdomātu lēmumu kredīta saņemšanai (koncerts „Mīlestība īstajā brīdī”);</w:t>
      </w:r>
    </w:p>
    <w:p w:rsidR="00256E7F" w:rsidRPr="00AA3E3F" w:rsidRDefault="00256E7F" w:rsidP="00AA3E3F">
      <w:pPr>
        <w:numPr>
          <w:ilvl w:val="0"/>
          <w:numId w:val="8"/>
        </w:numPr>
        <w:tabs>
          <w:tab w:val="left" w:pos="0"/>
        </w:tabs>
        <w:spacing w:after="0" w:line="240" w:lineRule="auto"/>
        <w:ind w:left="0" w:firstLine="360"/>
        <w:jc w:val="both"/>
        <w:rPr>
          <w:rFonts w:ascii="Geometr706 Md TL" w:eastAsia="Calibri" w:hAnsi="Geometr706 Md TL"/>
          <w:sz w:val="20"/>
          <w:szCs w:val="20"/>
        </w:rPr>
      </w:pPr>
      <w:r w:rsidRPr="00AA3E3F">
        <w:rPr>
          <w:rFonts w:ascii="Geometr706 Md TL" w:eastAsia="Calibri" w:hAnsi="Geometr706 Md TL"/>
          <w:sz w:val="20"/>
          <w:szCs w:val="20"/>
        </w:rPr>
        <w:t>2013. gada 18. jūlijā ir pieņemts lēmums, ar kuru AS „4finance” piemērots LVL 9000 administratīvais sods, uzdodot nekavējoties izbeigt negodīgu komercpraksi. Rezultātā komersants uzsāka katra kredīta ņēmēja maksātspējas izvērtēšanu pirms katra kredīta izsniegšanas;</w:t>
      </w:r>
    </w:p>
    <w:p w:rsidR="00256E7F" w:rsidRDefault="00256E7F" w:rsidP="00AA3E3F">
      <w:pPr>
        <w:numPr>
          <w:ilvl w:val="0"/>
          <w:numId w:val="8"/>
        </w:numPr>
        <w:spacing w:after="0" w:line="240" w:lineRule="auto"/>
        <w:ind w:left="0" w:firstLine="426"/>
        <w:jc w:val="both"/>
        <w:rPr>
          <w:rFonts w:ascii="Geometr706 Md TL" w:eastAsia="Calibri" w:hAnsi="Geometr706 Md TL"/>
          <w:b/>
          <w:sz w:val="20"/>
          <w:szCs w:val="20"/>
        </w:rPr>
      </w:pPr>
      <w:r w:rsidRPr="00AA3E3F">
        <w:rPr>
          <w:rFonts w:ascii="Geometr706 Md TL" w:eastAsia="Calibri" w:hAnsi="Geometr706 Md TL"/>
          <w:sz w:val="20"/>
          <w:szCs w:val="20"/>
        </w:rPr>
        <w:t>pēc PTAC aicinājuma vairākas kapitālsabiedrības labprātīgi pārtrauca izplatīt normatīvajiem aktiem neatbilstošas patērētāju kreditēšanas reklāmas, tādējādi novēršot negodīgas komercprakses īstenošanu.</w:t>
      </w:r>
    </w:p>
    <w:p w:rsidR="000A0AA3" w:rsidRPr="000A0AA3" w:rsidRDefault="000A0AA3" w:rsidP="000A0AA3">
      <w:pPr>
        <w:spacing w:after="0" w:line="240" w:lineRule="auto"/>
        <w:ind w:left="426"/>
        <w:jc w:val="both"/>
        <w:rPr>
          <w:rFonts w:ascii="Geometr706 Md TL" w:eastAsia="Calibri" w:hAnsi="Geometr706 Md TL"/>
          <w:b/>
          <w:sz w:val="20"/>
          <w:szCs w:val="20"/>
        </w:rPr>
      </w:pPr>
    </w:p>
    <w:p w:rsidR="00256E7F" w:rsidRPr="003179A2" w:rsidRDefault="00256E7F" w:rsidP="003179A2">
      <w:pPr>
        <w:tabs>
          <w:tab w:val="left" w:pos="567"/>
        </w:tabs>
        <w:spacing w:line="240" w:lineRule="auto"/>
        <w:jc w:val="center"/>
        <w:rPr>
          <w:rFonts w:ascii="Geometr706 Md TL" w:eastAsia="Calibri" w:hAnsi="Geometr706 Md TL"/>
          <w:b/>
          <w:sz w:val="20"/>
          <w:szCs w:val="20"/>
        </w:rPr>
      </w:pPr>
      <w:r w:rsidRPr="00AA3E3F">
        <w:rPr>
          <w:rFonts w:ascii="Geometr706 Md TL" w:eastAsia="Calibri" w:hAnsi="Geometr706 Md TL"/>
          <w:b/>
          <w:sz w:val="20"/>
          <w:szCs w:val="20"/>
        </w:rPr>
        <w:t>Piemēram, labprātīgi pārtraukts izplatīt reklāmas, kuras veicina bezatbildīgu aizņemšanos:</w:t>
      </w:r>
    </w:p>
    <w:p w:rsidR="00256E7F" w:rsidRPr="00256E7F" w:rsidRDefault="00256E7F" w:rsidP="000A0AA3">
      <w:pPr>
        <w:tabs>
          <w:tab w:val="left" w:pos="567"/>
        </w:tabs>
        <w:spacing w:line="240" w:lineRule="auto"/>
        <w:jc w:val="center"/>
        <w:rPr>
          <w:rFonts w:ascii="Geometr706 Md TL" w:eastAsia="Calibri" w:hAnsi="Geometr706 Md TL"/>
          <w:b/>
        </w:rPr>
      </w:pPr>
      <w:r w:rsidRPr="00256E7F">
        <w:rPr>
          <w:rFonts w:ascii="Geometr706 Md TL" w:hAnsi="Geometr706 Md TL"/>
          <w:noProof/>
          <w:lang w:eastAsia="lv-LV"/>
        </w:rPr>
        <w:drawing>
          <wp:inline distT="0" distB="0" distL="0" distR="0" wp14:anchorId="07D1DDDD" wp14:editId="19392CAC">
            <wp:extent cx="2478574" cy="1828800"/>
            <wp:effectExtent l="0" t="0" r="0" b="0"/>
            <wp:docPr id="16" name="Picture 16" descr="C:\Users\BaldinaI\AppData\Local\Microsoft\Windows\Temporary Internet Files\Content.Word\2013 Ātrais kredīts vides reklā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ldinaI\AppData\Local\Microsoft\Windows\Temporary Internet Files\Content.Word\2013 Ātrais kredīts vides reklāma.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80685" cy="1830358"/>
                    </a:xfrm>
                    <a:prstGeom prst="rect">
                      <a:avLst/>
                    </a:prstGeom>
                    <a:noFill/>
                    <a:ln>
                      <a:noFill/>
                    </a:ln>
                  </pic:spPr>
                </pic:pic>
              </a:graphicData>
            </a:graphic>
          </wp:inline>
        </w:drawing>
      </w:r>
      <w:r w:rsidRPr="00256E7F">
        <w:rPr>
          <w:rFonts w:ascii="Geometr706 Md TL" w:hAnsi="Geometr706 Md TL"/>
          <w:noProof/>
          <w:lang w:eastAsia="lv-LV"/>
        </w:rPr>
        <w:drawing>
          <wp:inline distT="0" distB="0" distL="0" distR="0" wp14:anchorId="41737D9A" wp14:editId="06A662DA">
            <wp:extent cx="2228613" cy="1755648"/>
            <wp:effectExtent l="0" t="0" r="635" b="0"/>
            <wp:docPr id="17" name="Picture 17" descr="C:\Users\BaldinaI\AppData\Local\Microsoft\Windows\Temporary Internet Files\Content.Word\2013. incredit reklā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ldinaI\AppData\Local\Microsoft\Windows\Temporary Internet Files\Content.Word\2013. incredit reklāma.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31938" cy="1758267"/>
                    </a:xfrm>
                    <a:prstGeom prst="rect">
                      <a:avLst/>
                    </a:prstGeom>
                    <a:noFill/>
                    <a:ln>
                      <a:noFill/>
                    </a:ln>
                  </pic:spPr>
                </pic:pic>
              </a:graphicData>
            </a:graphic>
          </wp:inline>
        </w:drawing>
      </w:r>
    </w:p>
    <w:p w:rsidR="00256E7F" w:rsidRPr="000A0AA3" w:rsidRDefault="00256E7F" w:rsidP="000A0AA3">
      <w:pPr>
        <w:numPr>
          <w:ilvl w:val="0"/>
          <w:numId w:val="8"/>
        </w:numPr>
        <w:spacing w:line="240" w:lineRule="auto"/>
        <w:ind w:left="0" w:firstLine="426"/>
        <w:jc w:val="both"/>
        <w:rPr>
          <w:rFonts w:ascii="Geometr706 Md TL" w:eastAsia="Calibri" w:hAnsi="Geometr706 Md TL"/>
          <w:b/>
          <w:sz w:val="20"/>
          <w:szCs w:val="20"/>
        </w:rPr>
      </w:pPr>
      <w:r w:rsidRPr="00AA3E3F">
        <w:rPr>
          <w:rFonts w:ascii="Geometr706 Md TL" w:eastAsia="Calibri" w:hAnsi="Geometr706 Md TL"/>
          <w:sz w:val="20"/>
          <w:szCs w:val="20"/>
        </w:rPr>
        <w:t>2013. gada 12. septembrī SIA „IMIS” valdes priekšsēdētājam piemērots administratīvais sods LVL 200 apmērā un 2013. gada 5. decembrī SIA ,,ALLS UN KO” valdes loceklim – LVL 300 apmērā par komercdarbības uzsākšanu bez speciālas atļaujas (licences), ja tās nepieciešamību nosaka likums.</w:t>
      </w:r>
    </w:p>
    <w:p w:rsidR="00256E7F" w:rsidRPr="00AA3E3F" w:rsidRDefault="00256E7F" w:rsidP="00256E7F">
      <w:pPr>
        <w:tabs>
          <w:tab w:val="left" w:pos="567"/>
        </w:tabs>
        <w:spacing w:line="240" w:lineRule="auto"/>
        <w:rPr>
          <w:rFonts w:ascii="Geometr706 Md TL" w:eastAsia="Calibri" w:hAnsi="Geometr706 Md TL"/>
          <w:b/>
          <w:sz w:val="20"/>
          <w:szCs w:val="20"/>
        </w:rPr>
      </w:pPr>
      <w:r w:rsidRPr="00AA3E3F">
        <w:rPr>
          <w:rFonts w:ascii="Geometr706 Md TL" w:eastAsia="Calibri" w:hAnsi="Geometr706 Md TL"/>
          <w:b/>
          <w:sz w:val="20"/>
          <w:szCs w:val="20"/>
        </w:rPr>
        <w:tab/>
        <w:t>PTAC, ievērojot patērētāju kreditēšanas jomā konstatētās problēmas un tendences:</w:t>
      </w:r>
    </w:p>
    <w:p w:rsidR="00256E7F" w:rsidRPr="00AA3E3F" w:rsidRDefault="00256E7F" w:rsidP="00256E7F">
      <w:pPr>
        <w:numPr>
          <w:ilvl w:val="0"/>
          <w:numId w:val="9"/>
        </w:numPr>
        <w:spacing w:after="0" w:line="240" w:lineRule="auto"/>
        <w:ind w:left="0" w:firstLine="360"/>
        <w:jc w:val="both"/>
        <w:rPr>
          <w:rFonts w:ascii="Geometr706 Md TL" w:eastAsia="Calibri" w:hAnsi="Geometr706 Md TL"/>
          <w:sz w:val="20"/>
          <w:szCs w:val="20"/>
        </w:rPr>
      </w:pPr>
      <w:r w:rsidRPr="00AA3E3F">
        <w:rPr>
          <w:rFonts w:ascii="Geometr706 Md TL" w:eastAsia="Calibri" w:hAnsi="Geometr706 Md TL"/>
          <w:sz w:val="20"/>
          <w:szCs w:val="20"/>
        </w:rPr>
        <w:t xml:space="preserve">ir izstrādājis, 2013. gada 16. augustā apstiprinājis un publicējis vadlīnijas „Patērētāju spējas atmaksāt kredītu novērtēšana kredītu devējiem, kas neatbilst kredītiestādes statusam”, lai uzlabotu maksātspējas izvērtēšanu, it īpaši ātro kredītu sektorā. Vadlīnijās ir informācija par piemērojamajām prasībām kredītvēstures izvērtēšanas analīzei, ienākumu un izdevumu attiecībai, risku analīzei un novēršanai, </w:t>
      </w:r>
      <w:r w:rsidRPr="00AA3E3F">
        <w:rPr>
          <w:rFonts w:ascii="Geometr706 Md TL" w:eastAsia="Calibri" w:hAnsi="Geometr706 Md TL"/>
          <w:sz w:val="20"/>
          <w:szCs w:val="20"/>
        </w:rPr>
        <w:lastRenderedPageBreak/>
        <w:t>kā arī PTAC viedoklis par aizdevuma atmaksas termiņa pagarināšanas principiem, patērētāja profilu, informācija par kredīta mērķu noteikšanu un citu informācija;</w:t>
      </w:r>
    </w:p>
    <w:p w:rsidR="00256E7F" w:rsidRPr="00AA3E3F" w:rsidRDefault="00256E7F" w:rsidP="00256E7F">
      <w:pPr>
        <w:numPr>
          <w:ilvl w:val="0"/>
          <w:numId w:val="9"/>
        </w:numPr>
        <w:spacing w:after="0" w:line="240" w:lineRule="auto"/>
        <w:ind w:left="0" w:firstLine="360"/>
        <w:jc w:val="both"/>
        <w:rPr>
          <w:rFonts w:ascii="Geometr706 Md TL" w:eastAsia="Calibri" w:hAnsi="Geometr706 Md TL"/>
          <w:sz w:val="20"/>
          <w:szCs w:val="20"/>
        </w:rPr>
      </w:pPr>
      <w:r w:rsidRPr="00AA3E3F">
        <w:rPr>
          <w:rFonts w:ascii="Geometr706 Md TL" w:eastAsia="Calibri" w:hAnsi="Geometr706 Md TL"/>
          <w:sz w:val="20"/>
          <w:szCs w:val="20"/>
        </w:rPr>
        <w:t>ir izstrādājis, 2013. gada 3. septembrī apstiprinājis un publicējis „</w:t>
      </w:r>
      <w:r w:rsidRPr="00AA3E3F">
        <w:rPr>
          <w:rFonts w:ascii="Geometr706 Md TL" w:eastAsia="Calibri" w:hAnsi="Geometr706 Md TL"/>
          <w:sz w:val="20"/>
          <w:szCs w:val="20"/>
          <w:u w:val="single"/>
        </w:rPr>
        <w:t>Vadlīnijas godīgas komercprakses īstenošanai patērētāju kreditēšanas jomā”</w:t>
      </w:r>
      <w:r w:rsidRPr="00AA3E3F">
        <w:rPr>
          <w:rFonts w:ascii="Geometr706 Md TL" w:eastAsia="Calibri" w:hAnsi="Geometr706 Md TL"/>
          <w:sz w:val="20"/>
          <w:szCs w:val="20"/>
        </w:rPr>
        <w:t>, lai novērstu negodīgas komercprakses īstenošanu patērētāju kreditēšanas reklāmas jomā. Vadlīnijās ir informācija par piemērojamajām prasībām kreditēšanas reklāmai, kredītu starpnieku reklāmām, kā arī PTAC viedoklis par prasībām reklāmu noformēšanai un izplatīšanai, ieteikumi bezatbildīgas aizņemšanās veicināšanas novēršanai, konkrētu piemēru analīze ar normatīvajiem aktiem atbilstošiem un neatbilstošiem piemēriem;</w:t>
      </w:r>
    </w:p>
    <w:p w:rsidR="00256E7F" w:rsidRPr="00AA3E3F" w:rsidRDefault="00256E7F" w:rsidP="00256E7F">
      <w:pPr>
        <w:numPr>
          <w:ilvl w:val="0"/>
          <w:numId w:val="9"/>
        </w:numPr>
        <w:spacing w:after="0" w:line="240" w:lineRule="auto"/>
        <w:ind w:left="0" w:firstLine="360"/>
        <w:jc w:val="both"/>
        <w:rPr>
          <w:rFonts w:ascii="Geometr706 Md TL" w:eastAsia="Calibri" w:hAnsi="Geometr706 Md TL"/>
          <w:sz w:val="20"/>
          <w:szCs w:val="20"/>
        </w:rPr>
      </w:pPr>
      <w:proofErr w:type="spellStart"/>
      <w:r w:rsidRPr="00AA3E3F">
        <w:rPr>
          <w:rFonts w:ascii="Geometr706 Md TL" w:eastAsia="Calibri" w:hAnsi="Geometr706 Md TL"/>
          <w:sz w:val="20"/>
          <w:szCs w:val="20"/>
        </w:rPr>
        <w:t>nebanku</w:t>
      </w:r>
      <w:proofErr w:type="spellEnd"/>
      <w:r w:rsidRPr="00AA3E3F">
        <w:rPr>
          <w:rFonts w:ascii="Geometr706 Md TL" w:eastAsia="Calibri" w:hAnsi="Geometr706 Md TL"/>
          <w:sz w:val="20"/>
          <w:szCs w:val="20"/>
        </w:rPr>
        <w:t xml:space="preserve"> </w:t>
      </w:r>
      <w:proofErr w:type="spellStart"/>
      <w:r w:rsidRPr="00AA3E3F">
        <w:rPr>
          <w:rFonts w:ascii="Geometr706 Md TL" w:eastAsia="Calibri" w:hAnsi="Geometr706 Md TL"/>
          <w:sz w:val="20"/>
          <w:szCs w:val="20"/>
        </w:rPr>
        <w:t>kredītdevēju</w:t>
      </w:r>
      <w:proofErr w:type="spellEnd"/>
      <w:r w:rsidRPr="00AA3E3F">
        <w:rPr>
          <w:rFonts w:ascii="Geometr706 Md TL" w:eastAsia="Calibri" w:hAnsi="Geometr706 Md TL"/>
          <w:sz w:val="20"/>
          <w:szCs w:val="20"/>
        </w:rPr>
        <w:t xml:space="preserve"> pārlicencēšanas procesa ietvaros PTAC ir aicinājis kapitālsabiedrības izstrādāt maksātspējas izvērtēšanas kārtību atbilstoši vadlīnijām „Patērētāju spējas atmaksāt kredītu novērtēšana kredītu devējiem, kas neatbilst kredītiestādes statusam” un apņemties tās ieviest praksē līdz vadlīnijās noteiktajam termiņam (31.12.2013.). Visas kapitālsabiedrības ir precizējušas maksātspējas izvērtēšanas kārtību;</w:t>
      </w:r>
    </w:p>
    <w:p w:rsidR="00256E7F" w:rsidRPr="00AA3E3F" w:rsidRDefault="00256E7F" w:rsidP="00256E7F">
      <w:pPr>
        <w:numPr>
          <w:ilvl w:val="0"/>
          <w:numId w:val="9"/>
        </w:numPr>
        <w:spacing w:after="0" w:line="240" w:lineRule="auto"/>
        <w:ind w:left="0" w:firstLine="360"/>
        <w:jc w:val="both"/>
        <w:rPr>
          <w:rFonts w:ascii="Geometr706 Md TL" w:eastAsia="Calibri" w:hAnsi="Geometr706 Md TL"/>
          <w:sz w:val="20"/>
          <w:szCs w:val="20"/>
        </w:rPr>
      </w:pPr>
      <w:r w:rsidRPr="00AA3E3F">
        <w:rPr>
          <w:rFonts w:ascii="Geometr706 Md TL" w:eastAsia="Calibri" w:hAnsi="Geometr706 Md TL"/>
          <w:sz w:val="20"/>
          <w:szCs w:val="20"/>
        </w:rPr>
        <w:t>PTAC sadarbībā ar EM ir aicinājis kredītu devējus nepiemērot pret patērētājiem, kuru maksātspējas izvērtēšana nav notikusi atbilstoši, līgumsodu, kā arī nepielietot citus līdzekļus, kuri palielina patērētāja kredīta pamata summas maksājumus, gadījumos, kad patērētāju maksātspēja nav izvērtēta vai izvērtēta nepietiekami;</w:t>
      </w:r>
    </w:p>
    <w:p w:rsidR="00256E7F" w:rsidRPr="00AA3E3F" w:rsidRDefault="00256E7F" w:rsidP="00256E7F">
      <w:pPr>
        <w:numPr>
          <w:ilvl w:val="0"/>
          <w:numId w:val="9"/>
        </w:numPr>
        <w:spacing w:after="0" w:line="240" w:lineRule="auto"/>
        <w:ind w:left="0" w:firstLine="360"/>
        <w:jc w:val="both"/>
        <w:rPr>
          <w:rFonts w:ascii="Geometr706 Md TL" w:eastAsia="Calibri" w:hAnsi="Geometr706 Md TL"/>
          <w:sz w:val="20"/>
          <w:szCs w:val="20"/>
        </w:rPr>
      </w:pPr>
      <w:r w:rsidRPr="00AA3E3F">
        <w:rPr>
          <w:rFonts w:ascii="Geometr706 Md TL" w:eastAsia="Calibri" w:hAnsi="Geometr706 Md TL"/>
          <w:sz w:val="20"/>
          <w:szCs w:val="20"/>
        </w:rPr>
        <w:t>par konstatētajām tendencēm kreditēšanas reklāmas kampaņās PTAC sadarbībā ar EM ir informējis Latvijas Reklāmas asociāciju un lielākos masu medijus ar mērķi preventīvi novērst pārkāpumus;</w:t>
      </w:r>
    </w:p>
    <w:p w:rsidR="00256E7F" w:rsidRPr="00AA3E3F" w:rsidRDefault="00256E7F" w:rsidP="00256E7F">
      <w:pPr>
        <w:numPr>
          <w:ilvl w:val="0"/>
          <w:numId w:val="9"/>
        </w:numPr>
        <w:spacing w:after="0" w:line="240" w:lineRule="auto"/>
        <w:ind w:left="0" w:firstLine="360"/>
        <w:jc w:val="both"/>
        <w:rPr>
          <w:rFonts w:ascii="Geometr706 Md TL" w:eastAsia="Calibri" w:hAnsi="Geometr706 Md TL"/>
          <w:sz w:val="20"/>
          <w:szCs w:val="20"/>
        </w:rPr>
      </w:pPr>
      <w:r w:rsidRPr="00AA3E3F">
        <w:rPr>
          <w:rFonts w:ascii="Geometr706 Md TL" w:eastAsia="Calibri" w:hAnsi="Geometr706 Md TL"/>
          <w:sz w:val="20"/>
          <w:szCs w:val="20"/>
        </w:rPr>
        <w:t>PTAC ir organizējis 5 seminārus pašvaldību un Valsts policijas darbiniekiem par licencēto un nelicencēto kreditēšanas pakalpojumu sniedzēju (pret kustamas mantas ķīlu) uzraudzību, līdz ar to pašvaldības un Valsts policijas pārstāvji varēs pilnvērtīgi sadarboties ar PTAC pārkāpumu novēršanā.</w:t>
      </w:r>
    </w:p>
    <w:p w:rsidR="00256E7F" w:rsidRPr="00AA3E3F" w:rsidRDefault="00256E7F" w:rsidP="00AA3E3F">
      <w:pPr>
        <w:spacing w:line="240" w:lineRule="auto"/>
        <w:ind w:firstLine="360"/>
        <w:rPr>
          <w:rFonts w:ascii="Geometr706 Md TL" w:eastAsia="Calibri" w:hAnsi="Geometr706 Md TL"/>
          <w:sz w:val="20"/>
          <w:szCs w:val="20"/>
        </w:rPr>
      </w:pPr>
      <w:r w:rsidRPr="00AA3E3F">
        <w:rPr>
          <w:rFonts w:ascii="Geometr706 Md TL" w:eastAsia="Calibri" w:hAnsi="Geometr706 Md TL"/>
          <w:sz w:val="20"/>
          <w:szCs w:val="20"/>
        </w:rPr>
        <w:t>Veikto pasākumu rezultātā ir panākti būtiski uzlabojumi patērētāju kreditēšanas jomas normatīvo aktu ievērošanā. Arī 2014. gadā šai jomai tiks p</w:t>
      </w:r>
      <w:r w:rsidR="00AA3E3F" w:rsidRPr="00AA3E3F">
        <w:rPr>
          <w:rFonts w:ascii="Geometr706 Md TL" w:eastAsia="Calibri" w:hAnsi="Geometr706 Md TL"/>
          <w:sz w:val="20"/>
          <w:szCs w:val="20"/>
        </w:rPr>
        <w:t>ievērsta pastiprināta uzmanība.</w:t>
      </w:r>
    </w:p>
    <w:p w:rsidR="00256E7F" w:rsidRPr="00AA3E3F" w:rsidRDefault="00256E7F" w:rsidP="00AA3E3F">
      <w:pPr>
        <w:tabs>
          <w:tab w:val="left" w:pos="567"/>
        </w:tabs>
        <w:spacing w:line="240" w:lineRule="auto"/>
        <w:jc w:val="both"/>
        <w:rPr>
          <w:rFonts w:ascii="Geometr706 Md TL" w:eastAsia="Calibri" w:hAnsi="Geometr706 Md TL"/>
          <w:b/>
          <w:sz w:val="20"/>
          <w:szCs w:val="20"/>
        </w:rPr>
      </w:pPr>
      <w:r w:rsidRPr="00AA3E3F">
        <w:rPr>
          <w:rFonts w:ascii="Geometr706 Md TL" w:eastAsia="Calibri" w:hAnsi="Geometr706 Md TL"/>
          <w:b/>
          <w:sz w:val="20"/>
          <w:szCs w:val="20"/>
        </w:rPr>
        <w:t>Līguma noteikumu un klienta iemaksātās naudas drošības garantiju uzraudzība</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2013. gadā PTAC īpašu uzmanību pievērsa tiešsaistē, proti, kolektīvās iepirkšanās portālos, piedāvātajiem kompleksajiem tūrisma pakalpojumiem ar mērķi novērst gadījumus, kad pakalpojumu sniedzējs nav nodrošinājis klienta iemaksātās naudas drošības garantiju, kā arī novērst negodīgas komercprakses pārkāpumus un līguma noteikumu pārkāpumus.</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r>
      <w:r w:rsidRPr="00AA3E3F">
        <w:rPr>
          <w:rFonts w:ascii="Geometr706 Md TL" w:eastAsia="Calibri" w:hAnsi="Geometr706 Md TL"/>
          <w:b/>
          <w:sz w:val="20"/>
          <w:szCs w:val="20"/>
        </w:rPr>
        <w:t>Veiktās darbības un sasniegtie rezultāti:</w:t>
      </w:r>
      <w:r w:rsidRPr="00AA3E3F">
        <w:rPr>
          <w:rFonts w:ascii="Geometr706 Md TL" w:eastAsia="Calibri" w:hAnsi="Geometr706 Md TL"/>
          <w:sz w:val="20"/>
          <w:szCs w:val="20"/>
        </w:rPr>
        <w:t xml:space="preserve"> PTAC uzsāka 2 administratīvās lietas un 1 administratīvā pārkāpuma lietu. Vienā gadījumā PTAC darbības rezultātā serveris ir bloķējis kompleksā tūrisma pakalpojuma sniedzēja mājaslapu, kurā tika piedāvāti pakalpojumi, nenodrošinot klienta iemaksātās naudas drošības garantiju. Uzsāktās administratīvā pārkāpuma lietas ietvaros tūrisma pakalpojumu sniedzējam par klienta iemaksātās naudas drošības garantijas nenodrošināšanu piemērots administratīvais naudas sods LVL 1000 apmērā.</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 xml:space="preserve">Vienlaikus ir izvērtēti autobusu </w:t>
      </w:r>
      <w:proofErr w:type="spellStart"/>
      <w:r w:rsidRPr="00AA3E3F">
        <w:rPr>
          <w:rFonts w:ascii="Geometr706 Md TL" w:eastAsia="Calibri" w:hAnsi="Geometr706 Md TL"/>
          <w:sz w:val="20"/>
          <w:szCs w:val="20"/>
        </w:rPr>
        <w:t>tūroperatoru</w:t>
      </w:r>
      <w:proofErr w:type="spellEnd"/>
      <w:r w:rsidRPr="00AA3E3F">
        <w:rPr>
          <w:rFonts w:ascii="Geometr706 Md TL" w:eastAsia="Calibri" w:hAnsi="Geometr706 Md TL"/>
          <w:sz w:val="20"/>
          <w:szCs w:val="20"/>
        </w:rPr>
        <w:t xml:space="preserve"> grupas patērētājiem piedāvātie standarta līgumu projekti, aicinot visus grupā iesaistītos uzņēmumus grozīt un precizēt līgumus. Atbilstoši PTAC norādījumiem līguma projektos veikti precizējumi.</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 xml:space="preserve">Apzinot galvenās problēmas saistībā ar tūrisma (komplekso tūrisma) pakalpojumu pirkumiem kolektīvās iepirkšanās mājaslapās, piemēram, maldinoši piedāvājumu apraksti, norādītās cenas neatbilstība, atlaides un to norādīšana, 2013. gada 14. martā PTAC rīkoja tikšanos ar kolektīvās iepirkšanās portālu pārstāvjiem par tūrisma pakalpojumu piedāvājumiem kuponu mājaslapās un ar šo pakalpojumu saistītajiem problēmjautājumiem. Aktivitātes rezultātā ir izstrādāta atsevišķa sadaļa </w:t>
      </w:r>
      <w:r w:rsidRPr="00AA3E3F">
        <w:rPr>
          <w:rFonts w:ascii="Geometr706 Md TL" w:eastAsia="Calibri" w:hAnsi="Geometr706 Md TL"/>
          <w:sz w:val="20"/>
          <w:szCs w:val="20"/>
        </w:rPr>
        <w:lastRenderedPageBreak/>
        <w:t>par tūrisma (kompleksajiem tūrisma) pakalpojumiem dokumentā „Vadlīnijas godīgas komercprakses īstenošanai kolektīvās iepirkšanās jomā”.</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Saistībā ar konstatētajām problēmām un nepilnībām kolektīvās iepirkšanās portālos PTAC 2014. gadā atkārtoti pārbaudīs kolektīvās iepirkšanās mājaslapu tūrisma un komplekso tūrisma pakalpojumu piedāvājumus, tostarp pārbaudot, vai ir ievērotas vadlīnijās izteiktās norādes.</w:t>
      </w:r>
    </w:p>
    <w:p w:rsidR="00256E7F" w:rsidRPr="00AA3E3F" w:rsidRDefault="00256E7F" w:rsidP="00AA3E3F">
      <w:pPr>
        <w:tabs>
          <w:tab w:val="left" w:pos="567"/>
        </w:tabs>
        <w:spacing w:line="240" w:lineRule="auto"/>
        <w:jc w:val="both"/>
        <w:rPr>
          <w:rFonts w:ascii="Geometr706 Md TL" w:eastAsia="Calibri" w:hAnsi="Geometr706 Md TL"/>
          <w:b/>
          <w:sz w:val="20"/>
          <w:szCs w:val="20"/>
        </w:rPr>
      </w:pPr>
      <w:r w:rsidRPr="00AA3E3F">
        <w:rPr>
          <w:rFonts w:ascii="Geometr706 Md TL" w:eastAsia="Calibri" w:hAnsi="Geometr706 Md TL"/>
          <w:sz w:val="20"/>
          <w:szCs w:val="20"/>
        </w:rPr>
        <w:tab/>
        <w:t xml:space="preserve">Kopā ar EM tika sagatavota vēstule visiem tūrisma operatoriem, kuriem sistēmā </w:t>
      </w:r>
      <w:r w:rsidRPr="00AA3E3F">
        <w:rPr>
          <w:rFonts w:ascii="Geometr706 Md TL" w:eastAsia="Calibri" w:hAnsi="Geometr706 Md TL"/>
          <w:i/>
          <w:sz w:val="20"/>
          <w:szCs w:val="20"/>
        </w:rPr>
        <w:t>TATO</w:t>
      </w:r>
      <w:r w:rsidRPr="00AA3E3F">
        <w:rPr>
          <w:rFonts w:ascii="Geometr706 Md TL" w:eastAsia="Calibri" w:hAnsi="Geometr706 Md TL"/>
          <w:sz w:val="20"/>
          <w:szCs w:val="20"/>
        </w:rPr>
        <w:t xml:space="preserve"> nebija ieraksta par spēkā esošu klienta iemaksātās naudas drošības garantiju. PTAC kopā ar EM plāno turpināt darbu efektīvākas klienta iemaksātās naudas drošības garantiju uzraudzības sistēmas izveidē. Šim nolūkam sniegti vairāki priekšlikumi EM.</w:t>
      </w:r>
    </w:p>
    <w:p w:rsidR="00256E7F" w:rsidRPr="00AA3E3F" w:rsidRDefault="00256E7F" w:rsidP="00AA3E3F">
      <w:pPr>
        <w:tabs>
          <w:tab w:val="left" w:pos="567"/>
        </w:tabs>
        <w:spacing w:line="240" w:lineRule="auto"/>
        <w:jc w:val="both"/>
        <w:rPr>
          <w:rFonts w:ascii="Geometr706 Md TL" w:eastAsia="Calibri" w:hAnsi="Geometr706 Md TL"/>
          <w:b/>
          <w:sz w:val="20"/>
          <w:szCs w:val="20"/>
        </w:rPr>
      </w:pPr>
      <w:r w:rsidRPr="00AA3E3F">
        <w:rPr>
          <w:rFonts w:ascii="Geometr706 Md TL" w:eastAsia="Calibri" w:hAnsi="Geometr706 Md TL"/>
          <w:b/>
          <w:sz w:val="20"/>
          <w:szCs w:val="20"/>
        </w:rPr>
        <w:t>Patērētāju kreditēšanas pakalpojumu sniedzējiem un parāda ārpustiesas atgūšanas pakalpojumu sniedzējiem izsniegto licenču skaits</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2013. gadā ir saņemti 52 iesniegumi speciālās atļaujas (licences) pārreģistrācijai patērētāju kreditēšanas pakalpojumu sniegšanai: 51 lietā ir pieņemts lēmums pārreģistrēt speciālo atļauju patērētāju kreditēšanas pakalpojumu sniegšanai, 1 lietā lēmums par licences pārreģistrāciju pieņemts 2014.gadā. Vienlaikus saņemti 2 jauni iesniegumi speciālās atļaujas (licences) saņemšanai, kurās pieņemti 2 lēmumi par jaunas licences izsniegšanu, kā arī pieņemti 5 lēmumi par speciālās atļaujas (licences) grozīšanu.</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Valsts budžetā ir iemaksāta valsts nodeva LVL 520 000 apmērā par speciālās atļaujas (licences) pārreģistrāciju un LVL 100 000 apmērā par jaunas speciālās atļaujas (licences) izsniegšanu.</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2013. gadā ir saņemti 22 iesniegumi jaunas speciālās atļaujas (licences) izsniegšanai ārpustiesas parāda atgūšanas pakalpojumu sniegšanai: 21 lietā pieņemts lēmums par speciālās atļaujas (licences) izsniegšanu, savukārt 1 lietas izskatīšana tiks turpināta 2014. gadā.</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Tādējādi valsts budžetā ir iemaksāta valsts nodeva LVL 55 000 apmērā par jaunas speciālās atļaujas (licences) izsniegšanu.</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2012. gada 11. decembrī stājās spēkā Parādu ārpustiesas atgūšanas likums, savukārt uz likuma pamata izdotie 29.01.2013. MK noteikumi Nr. 64 „Parāda atgūšanas pakalpojuma sniedzēju licencēšanas kārtība” un 29.01.2013. MK noteikumi Nr. 61 „Noteikumi par parāda atgūšanas izdevumu pieļaujamo apmēru un izdevumiem, kuri nav atlīdzināmi” stājās spēkā 2013. gada 1. februārī. PTAC sagatavoja un ievietoja PTAC mājaslapā biežāk uzdoto jautājumu un atbilžu dokumentu, informāciju par iesniegumu licences saņemšanai un informāciju par regulējumu. Minētās informācijas mērķis ir informēt parāda atgūšanas pakalpojumu sniedzējus par jauno regulējumu un licences saņemšanas prasībām.</w:t>
      </w:r>
    </w:p>
    <w:p w:rsidR="00256E7F" w:rsidRPr="00AA3E3F" w:rsidRDefault="00256E7F" w:rsidP="00AA3E3F">
      <w:pPr>
        <w:tabs>
          <w:tab w:val="left" w:pos="567"/>
        </w:tabs>
        <w:spacing w:line="240" w:lineRule="auto"/>
        <w:jc w:val="both"/>
        <w:rPr>
          <w:rFonts w:ascii="Geometr706 Md TL" w:eastAsia="Calibri" w:hAnsi="Geometr706 Md TL"/>
          <w:b/>
          <w:sz w:val="20"/>
          <w:szCs w:val="20"/>
        </w:rPr>
      </w:pPr>
      <w:r w:rsidRPr="00AA3E3F">
        <w:rPr>
          <w:rFonts w:ascii="Geometr706 Md TL" w:eastAsia="Calibri" w:hAnsi="Geometr706 Md TL"/>
          <w:b/>
          <w:sz w:val="20"/>
          <w:szCs w:val="20"/>
        </w:rPr>
        <w:t>Pārrobežu pārkāpumu novēršana patērētāju tiesību aizsardzības jomā</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ab/>
        <w:t>Patērētāju aizsardzības sadarbības sistēmas (</w:t>
      </w:r>
      <w:r w:rsidRPr="00AA3E3F">
        <w:rPr>
          <w:rFonts w:ascii="Geometr706 Md TL" w:eastAsia="Calibri" w:hAnsi="Geometr706 Md TL"/>
          <w:i/>
          <w:sz w:val="20"/>
          <w:szCs w:val="20"/>
        </w:rPr>
        <w:t>CPCS</w:t>
      </w:r>
      <w:r w:rsidRPr="00AA3E3F">
        <w:rPr>
          <w:rFonts w:ascii="Geometr706 Md TL" w:eastAsia="Calibri" w:hAnsi="Geometr706 Md TL"/>
          <w:sz w:val="20"/>
          <w:szCs w:val="20"/>
        </w:rPr>
        <w:t>), kas izveidota saskaņā ar Eiropas Parlamenta un Padomes regulu (EK) Nr. 2006/2004 (2004. gada 27. oktobris) par sadarbību starp valstu iestādēm, kas atbildīgas par tiesību aktu īstenošanu patērētāju tiesību aizsardzības jomā, ietvaros 2013. gadā PTAC:</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w:t>
      </w:r>
      <w:r w:rsidRPr="00AA3E3F">
        <w:rPr>
          <w:rFonts w:ascii="Geometr706 Md TL" w:eastAsia="Calibri" w:hAnsi="Geometr706 Md TL"/>
          <w:sz w:val="20"/>
          <w:szCs w:val="20"/>
        </w:rPr>
        <w:tab/>
        <w:t xml:space="preserve">ir nosūtījis 5 ziņojumus par darbību veikšanas pieprasījumu: 4 ziņojumus Lietuvas kompetentajai iestādei saistībā ar konstatētajiem pārkāpumiem distances tirdzniecības un e-komercijas (aviobiļešu tirdzniecība tiešsaistē), patērētāju kreditēšanas pakalpojumu, elektronisko sakaru pakalpojumu jomā, kā arī īstenoto </w:t>
      </w:r>
      <w:r w:rsidRPr="00AA3E3F">
        <w:rPr>
          <w:rFonts w:ascii="Geometr706 Md TL" w:eastAsia="Calibri" w:hAnsi="Geometr706 Md TL"/>
          <w:sz w:val="20"/>
          <w:szCs w:val="20"/>
        </w:rPr>
        <w:lastRenderedPageBreak/>
        <w:t>komercpraksi, piedāvājot uztura bagātinātāju; 1 ziņojumu Polijas kompetentajai iestādei saistībā ar īstenoto komercpraksi uztura bagātinātāju jomā. 3 lietas atrodas izskatīšanas stadijā, 2 lietās pārkāpumi ir novērsti un pārkāpējiem piemērots sods;</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w:t>
      </w:r>
      <w:r w:rsidRPr="00AA3E3F">
        <w:rPr>
          <w:rFonts w:ascii="Geometr706 Md TL" w:eastAsia="Calibri" w:hAnsi="Geometr706 Md TL"/>
          <w:sz w:val="20"/>
          <w:szCs w:val="20"/>
        </w:rPr>
        <w:tab/>
        <w:t>ir nosūtījis 1 informācijas pieprasījuma ziņojumu Francijas kompetentajai iestādei saistībā ar komercprakses lietas izvērtēšanu uztura bagātinātāju jomā. Lietas izskatīšanai nepieciešamā informācija tika saņemta;</w:t>
      </w:r>
    </w:p>
    <w:p w:rsidR="00256E7F" w:rsidRPr="00AA3E3F" w:rsidRDefault="00256E7F" w:rsidP="00AA3E3F">
      <w:pPr>
        <w:tabs>
          <w:tab w:val="left" w:pos="567"/>
        </w:tabs>
        <w:spacing w:line="240" w:lineRule="auto"/>
        <w:jc w:val="both"/>
        <w:rPr>
          <w:rFonts w:ascii="Geometr706 Md TL" w:eastAsia="Calibri" w:hAnsi="Geometr706 Md TL"/>
          <w:sz w:val="20"/>
          <w:szCs w:val="20"/>
        </w:rPr>
      </w:pPr>
      <w:r w:rsidRPr="00AA3E3F">
        <w:rPr>
          <w:rFonts w:ascii="Geometr706 Md TL" w:eastAsia="Calibri" w:hAnsi="Geometr706 Md TL"/>
          <w:sz w:val="20"/>
          <w:szCs w:val="20"/>
        </w:rPr>
        <w:t>•</w:t>
      </w:r>
      <w:r w:rsidRPr="00AA3E3F">
        <w:rPr>
          <w:rFonts w:ascii="Geometr706 Md TL" w:eastAsia="Calibri" w:hAnsi="Geometr706 Md TL"/>
          <w:sz w:val="20"/>
          <w:szCs w:val="20"/>
        </w:rPr>
        <w:tab/>
        <w:t xml:space="preserve">ir saņēmis 4 darbību veikšanas pieprasījumus: 1 pieprasījumu no Bulgārijas kompetentās iestādes saistībā ar Latvijas uzņēmuma īstenoto komercpraksi, piedāvājot mobilā satura pakalpojumus, kā arī 3 pieprasījumus no Igaunijas kompetentās iestādes par iespējamu īstenotu negodīgu </w:t>
      </w:r>
      <w:proofErr w:type="spellStart"/>
      <w:r w:rsidRPr="00AA3E3F">
        <w:rPr>
          <w:rFonts w:ascii="Geometr706 Md TL" w:eastAsia="Calibri" w:hAnsi="Geometr706 Md TL"/>
          <w:sz w:val="20"/>
          <w:szCs w:val="20"/>
        </w:rPr>
        <w:t>komercpraksi</w:t>
      </w:r>
      <w:proofErr w:type="spellEnd"/>
      <w:r w:rsidRPr="00AA3E3F">
        <w:rPr>
          <w:rFonts w:ascii="Geometr706 Md TL" w:eastAsia="Calibri" w:hAnsi="Geometr706 Md TL"/>
          <w:sz w:val="20"/>
          <w:szCs w:val="20"/>
        </w:rPr>
        <w:t xml:space="preserve"> uztura bagātinātāju, </w:t>
      </w:r>
      <w:proofErr w:type="spellStart"/>
      <w:r w:rsidRPr="00AA3E3F">
        <w:rPr>
          <w:rFonts w:ascii="Geometr706 Md TL" w:eastAsia="Calibri" w:hAnsi="Geometr706 Md TL"/>
          <w:sz w:val="20"/>
          <w:szCs w:val="20"/>
        </w:rPr>
        <w:t>aviopakalpojumu</w:t>
      </w:r>
      <w:proofErr w:type="spellEnd"/>
      <w:r w:rsidRPr="00AA3E3F">
        <w:rPr>
          <w:rFonts w:ascii="Geometr706 Md TL" w:eastAsia="Calibri" w:hAnsi="Geometr706 Md TL"/>
          <w:sz w:val="20"/>
          <w:szCs w:val="20"/>
        </w:rPr>
        <w:t xml:space="preserve"> un elektronisko sakaru pakalpojumu jomā. 2 gadījumos saistībā ar saņemto pieprasījumu lietas izskatīšana ir izbeigta pierādījumu trūkuma dēļ, tādējādi nekonstatējot pārkāpumus, 1 gadījumā pārkāpums ir novērsts labprātīgi, 1 lieta atrodas izskatīšanas procesā.</w:t>
      </w:r>
    </w:p>
    <w:p w:rsidR="00256E7F" w:rsidRPr="00AA3E3F" w:rsidRDefault="00256E7F" w:rsidP="00256E7F">
      <w:pPr>
        <w:tabs>
          <w:tab w:val="left" w:pos="567"/>
        </w:tabs>
        <w:spacing w:line="240" w:lineRule="auto"/>
        <w:rPr>
          <w:rFonts w:ascii="Geometr706 Md TL" w:eastAsia="Calibri" w:hAnsi="Geometr706 Md TL"/>
          <w:sz w:val="20"/>
          <w:szCs w:val="20"/>
        </w:rPr>
      </w:pPr>
      <w:r w:rsidRPr="00AA3E3F">
        <w:rPr>
          <w:rFonts w:ascii="Geometr706 Md TL" w:eastAsia="Calibri" w:hAnsi="Geometr706 Md TL"/>
          <w:sz w:val="20"/>
          <w:szCs w:val="20"/>
        </w:rPr>
        <w:tab/>
        <w:t>Uzraudzības iestāžu sadarbība pārrobežu lietās ir ļāvusi novērst pārrobežu pārkāpumus, kā arī nodrošinājusi iespēju iegūt lietu izskatīšanai nepieciešamo informāciju.</w:t>
      </w:r>
    </w:p>
    <w:p w:rsidR="00256E7F" w:rsidRPr="00AA3E3F" w:rsidRDefault="00256E7F" w:rsidP="00256E7F">
      <w:pPr>
        <w:tabs>
          <w:tab w:val="left" w:pos="567"/>
        </w:tabs>
        <w:spacing w:line="240" w:lineRule="auto"/>
        <w:rPr>
          <w:rFonts w:ascii="Geometr706 Md TL" w:eastAsia="Calibri" w:hAnsi="Geometr706 Md TL"/>
          <w:sz w:val="20"/>
          <w:szCs w:val="20"/>
        </w:rPr>
      </w:pPr>
    </w:p>
    <w:p w:rsidR="00256E7F" w:rsidRPr="00256E7F" w:rsidRDefault="00256E7F" w:rsidP="00AA3E3F">
      <w:pPr>
        <w:pStyle w:val="Heading3"/>
        <w:spacing w:after="240"/>
        <w:jc w:val="center"/>
        <w:rPr>
          <w:rFonts w:ascii="Geometr706 Md TL" w:hAnsi="Geometr706 Md TL"/>
        </w:rPr>
      </w:pPr>
      <w:bookmarkStart w:id="41" w:name="_2.3.2._Preču_un"/>
      <w:bookmarkStart w:id="42" w:name="_Toc380143875"/>
      <w:bookmarkStart w:id="43" w:name="_Toc380147115"/>
      <w:bookmarkStart w:id="44" w:name="_Toc392836100"/>
      <w:bookmarkEnd w:id="41"/>
      <w:r w:rsidRPr="00256E7F">
        <w:rPr>
          <w:rFonts w:ascii="Geometr706 Md TL" w:hAnsi="Geometr706 Md TL"/>
        </w:rPr>
        <w:t>2.3.2. Preču un pakalpojumu uzraudzība</w:t>
      </w:r>
      <w:bookmarkEnd w:id="42"/>
      <w:bookmarkEnd w:id="43"/>
      <w:bookmarkEnd w:id="44"/>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 xml:space="preserve">2013. gadā ir realizēti 8 drošuma un atbilstības uzlabošanas projekti šādās jomās: būvizstrādājumu, transportējamo spiedieniekārtu, elektropreču, </w:t>
      </w:r>
      <w:proofErr w:type="spellStart"/>
      <w:r w:rsidRPr="00AA3E3F">
        <w:rPr>
          <w:rFonts w:ascii="Geometr706 Md TL" w:hAnsi="Geometr706 Md TL"/>
          <w:sz w:val="20"/>
          <w:szCs w:val="20"/>
        </w:rPr>
        <w:t>mašīniekārtu</w:t>
      </w:r>
      <w:proofErr w:type="spellEnd"/>
      <w:r w:rsidRPr="00AA3E3F">
        <w:rPr>
          <w:rFonts w:ascii="Geometr706 Md TL" w:hAnsi="Geometr706 Md TL"/>
          <w:sz w:val="20"/>
          <w:szCs w:val="20"/>
        </w:rPr>
        <w:t>, IAL, rotaļlietu, vispārējo preču un pakalpojumu drošums. Papildus tika realizēts eiro cenu uzraudzības projekts.</w:t>
      </w:r>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2013. gadā ir veiktas 916 preču un pakalpojumu atbilstības būtiskajām prasībām pārbaudes un pārbaudīti 866 dažādu preču modeļi. Tirgus situācijas izpētei tika veikti 305 apsekojumi prioritārajos uzraudzības virzienos.</w:t>
      </w:r>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Eiro cenu uzraudzības projekta ietvaros 2013. gadā PTAC un Patērētāju interešu aizstāvības asociācija veica 11 533 pārbaudes.</w:t>
      </w:r>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2013. gadā ir veikta 195 preču paraugu ekspertīze; ir konstatēta 86 modeļu (44 %) neatbilstība būtiskajām prasībām.</w:t>
      </w:r>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PTAC sadarbībā ar VID Muitas pārvaldi ir veicis preču kontroli uz robežas, pārbaudot 1136 preču modeļu atbilstību normatīvo aktu prasībām; ir konstatēta 858 modeļu neatbilstība normatīvo aktu prasībām.</w:t>
      </w:r>
    </w:p>
    <w:p w:rsidR="00256E7F" w:rsidRPr="00AA3E3F" w:rsidRDefault="00256E7F" w:rsidP="00AA3E3F">
      <w:pPr>
        <w:spacing w:line="240" w:lineRule="auto"/>
        <w:jc w:val="both"/>
        <w:rPr>
          <w:rFonts w:ascii="Geometr706 Md TL" w:hAnsi="Geometr706 Md TL"/>
          <w:b/>
          <w:sz w:val="20"/>
          <w:szCs w:val="20"/>
        </w:rPr>
      </w:pPr>
      <w:r w:rsidRPr="00AA3E3F">
        <w:rPr>
          <w:rFonts w:ascii="Geometr706 Md TL" w:hAnsi="Geometr706 Md TL"/>
          <w:b/>
          <w:sz w:val="20"/>
          <w:szCs w:val="20"/>
        </w:rPr>
        <w:t>1) Būvizstrādājumu drošuma un a</w:t>
      </w:r>
      <w:r w:rsidR="00AA3E3F" w:rsidRPr="00AA3E3F">
        <w:rPr>
          <w:rFonts w:ascii="Geometr706 Md TL" w:hAnsi="Geometr706 Md TL"/>
          <w:b/>
          <w:sz w:val="20"/>
          <w:szCs w:val="20"/>
        </w:rPr>
        <w:t>tbilstības uzlabošanas projekts</w:t>
      </w:r>
    </w:p>
    <w:p w:rsidR="00256E7F" w:rsidRPr="00AA3E3F" w:rsidRDefault="00256E7F" w:rsidP="00AA3E3F">
      <w:pPr>
        <w:spacing w:line="240" w:lineRule="auto"/>
        <w:jc w:val="both"/>
        <w:rPr>
          <w:rFonts w:ascii="Geometr706 Md TL" w:hAnsi="Geometr706 Md TL"/>
          <w:i/>
          <w:sz w:val="20"/>
          <w:szCs w:val="20"/>
          <w:u w:val="single"/>
        </w:rPr>
      </w:pPr>
      <w:r w:rsidRPr="00AA3E3F">
        <w:rPr>
          <w:rFonts w:ascii="Geometr706 Md TL" w:hAnsi="Geometr706 Md TL"/>
          <w:i/>
          <w:sz w:val="20"/>
          <w:szCs w:val="20"/>
          <w:u w:val="single"/>
        </w:rPr>
        <w:t xml:space="preserve">Būvizstrādājumu – apkures sistēmas sildķermeņu (radiatoru un konvektoru) – drošuma un atbilstības uzlabošanas </w:t>
      </w:r>
      <w:proofErr w:type="spellStart"/>
      <w:r w:rsidRPr="00AA3E3F">
        <w:rPr>
          <w:rFonts w:ascii="Geometr706 Md TL" w:hAnsi="Geometr706 Md TL"/>
          <w:i/>
          <w:sz w:val="20"/>
          <w:szCs w:val="20"/>
          <w:u w:val="single"/>
        </w:rPr>
        <w:t>apakšprojekts</w:t>
      </w:r>
      <w:proofErr w:type="spellEnd"/>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 xml:space="preserve">Vides problēmu un pieaugošo komunālo maksājumu dēļ sabiedrībā palielinās interese par ēku energoefektivitātes līmeņa paaugstināšanu. Palielinoties energoefektivitātes pasākumu skaitam, arvien vairāk tiek renovētas un rekonstruētas arī ēku apkures sistēmas. Sildķermeņi (radiatori un konvektori) ir būtisks apkures sistēmas elements, tāpēc PTAC būvizstrādājumu jomu ir noteicis par vienu no </w:t>
      </w:r>
      <w:proofErr w:type="spellStart"/>
      <w:r w:rsidRPr="00AA3E3F">
        <w:rPr>
          <w:rFonts w:ascii="Geometr706 Md TL" w:hAnsi="Geometr706 Md TL"/>
          <w:sz w:val="20"/>
          <w:szCs w:val="20"/>
        </w:rPr>
        <w:t>apakšprioritātēm</w:t>
      </w:r>
      <w:proofErr w:type="spellEnd"/>
      <w:r w:rsidRPr="00AA3E3F">
        <w:rPr>
          <w:rFonts w:ascii="Geometr706 Md TL" w:hAnsi="Geometr706 Md TL"/>
          <w:sz w:val="20"/>
          <w:szCs w:val="20"/>
        </w:rPr>
        <w:t xml:space="preserve"> un ir uzsācis pārbaudīt tirgus piedāvājumu un preču atbilstību normatīvo aktu prasībām.</w:t>
      </w:r>
    </w:p>
    <w:p w:rsidR="00256E7F" w:rsidRPr="00AA3E3F" w:rsidRDefault="00256E7F" w:rsidP="00AA3E3F">
      <w:pPr>
        <w:spacing w:line="240" w:lineRule="auto"/>
        <w:jc w:val="both"/>
        <w:rPr>
          <w:rFonts w:ascii="Geometr706 Md TL" w:hAnsi="Geometr706 Md TL"/>
          <w:sz w:val="20"/>
          <w:szCs w:val="20"/>
        </w:rPr>
      </w:pPr>
      <w:r w:rsidRPr="00AA3E3F">
        <w:rPr>
          <w:rFonts w:ascii="Geometr706 Md TL" w:hAnsi="Geometr706 Md TL"/>
          <w:sz w:val="20"/>
          <w:szCs w:val="20"/>
        </w:rPr>
        <w:tab/>
      </w:r>
      <w:proofErr w:type="spellStart"/>
      <w:r w:rsidRPr="00AA3E3F">
        <w:rPr>
          <w:rFonts w:ascii="Geometr706 Md TL" w:hAnsi="Geometr706 Md TL"/>
          <w:sz w:val="20"/>
          <w:szCs w:val="20"/>
        </w:rPr>
        <w:t>Apakšprojekta</w:t>
      </w:r>
      <w:proofErr w:type="spellEnd"/>
      <w:r w:rsidRPr="00AA3E3F">
        <w:rPr>
          <w:rFonts w:ascii="Geometr706 Md TL" w:hAnsi="Geometr706 Md TL"/>
          <w:sz w:val="20"/>
          <w:szCs w:val="20"/>
        </w:rPr>
        <w:t xml:space="preserve"> ietvaros pārbaudīti 26 komersanti – 1 ražotājs, 12 izplatītāju, 3 importētāji, kopā pārbaudot 37 modeļus, no kuriem 35 modeļiem konstatētas </w:t>
      </w:r>
      <w:r w:rsidRPr="00AA3E3F">
        <w:rPr>
          <w:rFonts w:ascii="Geometr706 Md TL" w:hAnsi="Geometr706 Md TL"/>
          <w:sz w:val="20"/>
          <w:szCs w:val="20"/>
        </w:rPr>
        <w:lastRenderedPageBreak/>
        <w:t xml:space="preserve">neatbilstības. </w:t>
      </w:r>
      <w:proofErr w:type="spellStart"/>
      <w:r w:rsidRPr="00AA3E3F">
        <w:rPr>
          <w:rFonts w:ascii="Geometr706 Md TL" w:hAnsi="Geometr706 Md TL"/>
          <w:sz w:val="20"/>
          <w:szCs w:val="20"/>
        </w:rPr>
        <w:t>Apakšprojekta</w:t>
      </w:r>
      <w:proofErr w:type="spellEnd"/>
      <w:r w:rsidRPr="00AA3E3F">
        <w:rPr>
          <w:rFonts w:ascii="Geometr706 Md TL" w:hAnsi="Geometr706 Md TL"/>
          <w:sz w:val="20"/>
          <w:szCs w:val="20"/>
        </w:rPr>
        <w:t xml:space="preserve"> ietvaros veikti 12 apsekojumi. Visbiežāk sastopamās neatbilstības ir saistītas ar atbilstības deklarācijām: tās nav pieejamas tirdzniecības vietās (63 % gadījumu) vai ir svešvalodā (26 % gadījumu).</w:t>
      </w:r>
    </w:p>
    <w:p w:rsidR="00256E7F" w:rsidRPr="00AA3E3F" w:rsidRDefault="00256E7F" w:rsidP="00AA3E3F">
      <w:pPr>
        <w:spacing w:line="240" w:lineRule="auto"/>
        <w:jc w:val="both"/>
        <w:rPr>
          <w:rFonts w:ascii="Geometr706 Md TL" w:hAnsi="Geometr706 Md TL"/>
          <w:sz w:val="20"/>
          <w:szCs w:val="20"/>
        </w:rPr>
      </w:pPr>
      <w:r w:rsidRPr="00AA3E3F">
        <w:rPr>
          <w:rFonts w:ascii="Geometr706 Md TL" w:hAnsi="Geometr706 Md TL"/>
          <w:sz w:val="20"/>
          <w:szCs w:val="20"/>
        </w:rPr>
        <w:tab/>
        <w:t>Pie viena no izplatītājiem tika apturēta 20 modeļu (68 vienības) realizācija, no tiem 9 modeļi ražoti Turcijā, 11 – Itālijā. Pēc atbilstību apliecinošo dokumentu – atbilstības deklarācijas, kas pamatota ar tipa sākotnējās testēšanas pārskatu, – saņemšanas realizācija tika atļauta.</w:t>
      </w:r>
    </w:p>
    <w:p w:rsidR="00256E7F" w:rsidRPr="00AA3E3F" w:rsidRDefault="00256E7F" w:rsidP="00AA3E3F">
      <w:pPr>
        <w:spacing w:line="240" w:lineRule="auto"/>
        <w:ind w:firstLine="720"/>
        <w:jc w:val="both"/>
        <w:rPr>
          <w:rFonts w:ascii="Geometr706 Md TL" w:hAnsi="Geometr706 Md TL"/>
          <w:sz w:val="20"/>
          <w:szCs w:val="20"/>
        </w:rPr>
      </w:pPr>
      <w:proofErr w:type="spellStart"/>
      <w:r w:rsidRPr="00AA3E3F">
        <w:rPr>
          <w:rFonts w:ascii="Geometr706 Md TL" w:hAnsi="Geometr706 Md TL"/>
          <w:sz w:val="20"/>
          <w:szCs w:val="20"/>
        </w:rPr>
        <w:t>Apakšprojekta</w:t>
      </w:r>
      <w:proofErr w:type="spellEnd"/>
      <w:r w:rsidRPr="00AA3E3F">
        <w:rPr>
          <w:rFonts w:ascii="Geometr706 Md TL" w:hAnsi="Geometr706 Md TL"/>
          <w:sz w:val="20"/>
          <w:szCs w:val="20"/>
        </w:rPr>
        <w:t xml:space="preserve"> ietvaros konstatētās neatbilstības ir novērstas, un, veicot atkārtotus tirgus uzraudzības pasākumus, netika konstatēti radiatori vai konvektori, kuriem nebūtu veikta normatīvo aktu prasībām atbilstoša atbilstības novērtēšana.</w:t>
      </w:r>
    </w:p>
    <w:p w:rsidR="00256E7F" w:rsidRPr="00AA3E3F" w:rsidRDefault="00256E7F" w:rsidP="00AA3E3F">
      <w:pPr>
        <w:spacing w:line="240" w:lineRule="auto"/>
        <w:jc w:val="both"/>
        <w:rPr>
          <w:rFonts w:ascii="Geometr706 Md TL" w:hAnsi="Geometr706 Md TL"/>
          <w:i/>
          <w:sz w:val="20"/>
          <w:szCs w:val="20"/>
          <w:u w:val="single"/>
        </w:rPr>
      </w:pPr>
      <w:r w:rsidRPr="00AA3E3F">
        <w:rPr>
          <w:rFonts w:ascii="Geometr706 Md TL" w:hAnsi="Geometr706 Md TL"/>
          <w:i/>
          <w:sz w:val="20"/>
          <w:szCs w:val="20"/>
          <w:u w:val="single"/>
        </w:rPr>
        <w:t xml:space="preserve">Būvizstrādājumu – dūmu signalizācijas ierīču – drošuma un atbilstības uzlabošanas </w:t>
      </w:r>
      <w:proofErr w:type="spellStart"/>
      <w:r w:rsidRPr="00AA3E3F">
        <w:rPr>
          <w:rFonts w:ascii="Geometr706 Md TL" w:hAnsi="Geometr706 Md TL"/>
          <w:i/>
          <w:sz w:val="20"/>
          <w:szCs w:val="20"/>
          <w:u w:val="single"/>
        </w:rPr>
        <w:t>apakšprojekts</w:t>
      </w:r>
      <w:proofErr w:type="spellEnd"/>
    </w:p>
    <w:p w:rsidR="00256E7F" w:rsidRPr="00AA3E3F" w:rsidRDefault="00256E7F" w:rsidP="00AA3E3F">
      <w:pPr>
        <w:spacing w:line="240" w:lineRule="auto"/>
        <w:ind w:firstLine="720"/>
        <w:jc w:val="both"/>
        <w:rPr>
          <w:rFonts w:ascii="Geometr706 Md TL" w:hAnsi="Geometr706 Md TL"/>
          <w:sz w:val="20"/>
          <w:szCs w:val="20"/>
        </w:rPr>
      </w:pPr>
      <w:proofErr w:type="spellStart"/>
      <w:r w:rsidRPr="00AA3E3F">
        <w:rPr>
          <w:rFonts w:ascii="Geometr706 Md TL" w:hAnsi="Geometr706 Md TL"/>
          <w:sz w:val="20"/>
          <w:szCs w:val="20"/>
        </w:rPr>
        <w:t>Apakšprojekta</w:t>
      </w:r>
      <w:proofErr w:type="spellEnd"/>
      <w:r w:rsidRPr="00AA3E3F">
        <w:rPr>
          <w:rFonts w:ascii="Geometr706 Md TL" w:hAnsi="Geometr706 Md TL"/>
          <w:sz w:val="20"/>
          <w:szCs w:val="20"/>
        </w:rPr>
        <w:t xml:space="preserve"> mērķis ir pārbaudīt, vai dūmu trauksmes ierīcēm ir veikta normatīvajos aktos noteiktā atbilstības novērtēšanas procedūra un vai prece ir nodrošināta ar piemērotiem atbilstību apliecinošiem dokumentiem un marķējumu.</w:t>
      </w:r>
    </w:p>
    <w:p w:rsidR="00256E7F" w:rsidRPr="00AA3E3F" w:rsidRDefault="00256E7F" w:rsidP="00AA3E3F">
      <w:pPr>
        <w:spacing w:line="240" w:lineRule="auto"/>
        <w:jc w:val="both"/>
        <w:rPr>
          <w:rFonts w:ascii="Geometr706 Md TL" w:hAnsi="Geometr706 Md TL"/>
          <w:sz w:val="20"/>
          <w:szCs w:val="20"/>
        </w:rPr>
      </w:pPr>
      <w:r w:rsidRPr="00AA3E3F">
        <w:rPr>
          <w:rFonts w:ascii="Geometr706 Md TL" w:hAnsi="Geometr706 Md TL"/>
          <w:sz w:val="20"/>
          <w:szCs w:val="20"/>
        </w:rPr>
        <w:tab/>
      </w:r>
      <w:proofErr w:type="spellStart"/>
      <w:r w:rsidRPr="00AA3E3F">
        <w:rPr>
          <w:rFonts w:ascii="Geometr706 Md TL" w:hAnsi="Geometr706 Md TL"/>
          <w:sz w:val="20"/>
          <w:szCs w:val="20"/>
        </w:rPr>
        <w:t>Apakšprojekta</w:t>
      </w:r>
      <w:proofErr w:type="spellEnd"/>
      <w:r w:rsidRPr="00AA3E3F">
        <w:rPr>
          <w:rFonts w:ascii="Geometr706 Md TL" w:hAnsi="Geometr706 Md TL"/>
          <w:sz w:val="20"/>
          <w:szCs w:val="20"/>
        </w:rPr>
        <w:t xml:space="preserve"> ietvaros pārbaudīti 19 komersanti: veikti 7 apsekojumi un 12 pārbaudes, pārbaudīti 9 modeļi. 56 % pārbaudīto modeļu ir ražoti ES, pārējie – Ķīnā. Visiem pārbaudītajiem modeļiem ir konstatētas dažāda rakstura neatbilstības: prece nav nodrošināta ar atbilstības deklarāciju, deklarācija neatbilst normatīvo aktu prasībām, deklarācija un instrukcija ir svešvalodā. Visas dūmu detektoru modeļiem konstatētās neatbilstības ir novērstas, izņemot vienu modeli (izcelsmes valsts – Polija), kas tika izņemts no tirgus un nosūtīts atpakaļ ražotājam.</w:t>
      </w:r>
    </w:p>
    <w:p w:rsidR="00256E7F" w:rsidRPr="00AA3E3F" w:rsidRDefault="00256E7F" w:rsidP="00AA3E3F">
      <w:pPr>
        <w:spacing w:line="240" w:lineRule="auto"/>
        <w:jc w:val="both"/>
        <w:rPr>
          <w:rFonts w:ascii="Geometr706 Md TL" w:hAnsi="Geometr706 Md TL"/>
          <w:sz w:val="20"/>
          <w:szCs w:val="20"/>
        </w:rPr>
      </w:pPr>
      <w:r w:rsidRPr="00AA3E3F">
        <w:rPr>
          <w:rFonts w:ascii="Geometr706 Md TL" w:hAnsi="Geometr706 Md TL"/>
          <w:sz w:val="20"/>
          <w:szCs w:val="20"/>
        </w:rPr>
        <w:tab/>
        <w:t>Saņēmis ugunsaizsardzības signalizācijas projektētāja sūdzību, ka Latvijas tirgū tiek piedāvātas nesertificētas signalizācijas ierīces, PTAC veica papildu pārbaudes pie 2 komersantiem, kā rezultātā 773 ierīces (vienības) tika izņemtas no tirgus. Tā kā preces ir ievestas no Polijas, PTAC par konstatētajām neatbilstībām ir informē</w:t>
      </w:r>
      <w:r w:rsidR="00AA3E3F">
        <w:rPr>
          <w:rFonts w:ascii="Geometr706 Md TL" w:hAnsi="Geometr706 Md TL"/>
          <w:sz w:val="20"/>
          <w:szCs w:val="20"/>
        </w:rPr>
        <w:t>jis Polijas kompetento iestādi.</w:t>
      </w:r>
    </w:p>
    <w:p w:rsidR="00256E7F" w:rsidRPr="00AA3E3F" w:rsidRDefault="00256E7F" w:rsidP="00AA3E3F">
      <w:pPr>
        <w:spacing w:line="240" w:lineRule="auto"/>
        <w:jc w:val="both"/>
        <w:rPr>
          <w:rFonts w:ascii="Geometr706 Md TL" w:hAnsi="Geometr706 Md TL"/>
          <w:i/>
          <w:sz w:val="20"/>
          <w:szCs w:val="20"/>
          <w:u w:val="single"/>
        </w:rPr>
      </w:pPr>
      <w:r w:rsidRPr="00AA3E3F">
        <w:rPr>
          <w:rFonts w:ascii="Geometr706 Md TL" w:hAnsi="Geometr706 Md TL"/>
          <w:i/>
          <w:sz w:val="20"/>
          <w:szCs w:val="20"/>
          <w:u w:val="single"/>
        </w:rPr>
        <w:t>Būvizstrādājumu – mūra bloku – drošuma un atbilst</w:t>
      </w:r>
      <w:r w:rsidR="00AA3E3F">
        <w:rPr>
          <w:rFonts w:ascii="Geometr706 Md TL" w:hAnsi="Geometr706 Md TL"/>
          <w:i/>
          <w:sz w:val="20"/>
          <w:szCs w:val="20"/>
          <w:u w:val="single"/>
        </w:rPr>
        <w:t xml:space="preserve">ības uzlabošanas </w:t>
      </w:r>
      <w:proofErr w:type="spellStart"/>
      <w:r w:rsidR="00AA3E3F">
        <w:rPr>
          <w:rFonts w:ascii="Geometr706 Md TL" w:hAnsi="Geometr706 Md TL"/>
          <w:i/>
          <w:sz w:val="20"/>
          <w:szCs w:val="20"/>
          <w:u w:val="single"/>
        </w:rPr>
        <w:t>apakšprojekts</w:t>
      </w:r>
      <w:proofErr w:type="spellEnd"/>
      <w:r w:rsidR="00AA3E3F">
        <w:rPr>
          <w:rFonts w:ascii="Geometr706 Md TL" w:hAnsi="Geometr706 Md TL"/>
          <w:i/>
          <w:sz w:val="20"/>
          <w:szCs w:val="20"/>
          <w:u w:val="single"/>
        </w:rPr>
        <w:t xml:space="preserve"> </w:t>
      </w:r>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Ēkas ārsienu materiālu izvēle ir vienlīdz svarīga gan daudzdzīvokļu vairākstāvu ēkām, gan individuāli būvējamām ģimenes mājām, tāpēc tā interesē gan dzīvokļu īpašniekus, gan būvniekus, gan arī pašvaldības, ietverot gan resursus, gan iedzīvotāju komfortu un veselību. Ievērojot būvniecības apjomu un piedāvāto materiālu klāstu, PTAC veica mūra bloku pārbaudi: vai tiem tiek veikta atbilstoša atbilstības novērtēšanas procedūra un ir noteikti tādi būtiskie būvizstrādājuma parametri kā mehāniskā pretestība, stabilitāte un ugunsdrošība.</w:t>
      </w:r>
    </w:p>
    <w:p w:rsidR="00256E7F" w:rsidRPr="00AA3E3F" w:rsidRDefault="00256E7F" w:rsidP="00AA3E3F">
      <w:pPr>
        <w:spacing w:line="240" w:lineRule="auto"/>
        <w:ind w:firstLine="720"/>
        <w:jc w:val="both"/>
        <w:rPr>
          <w:rFonts w:ascii="Geometr706 Md TL" w:hAnsi="Geometr706 Md TL"/>
          <w:sz w:val="20"/>
          <w:szCs w:val="20"/>
        </w:rPr>
      </w:pPr>
      <w:proofErr w:type="spellStart"/>
      <w:r w:rsidRPr="00AA3E3F">
        <w:rPr>
          <w:rFonts w:ascii="Geometr706 Md TL" w:hAnsi="Geometr706 Md TL"/>
          <w:sz w:val="20"/>
          <w:szCs w:val="20"/>
        </w:rPr>
        <w:t>Apakšprojekta</w:t>
      </w:r>
      <w:proofErr w:type="spellEnd"/>
      <w:r w:rsidRPr="00AA3E3F">
        <w:rPr>
          <w:rFonts w:ascii="Geometr706 Md TL" w:hAnsi="Geometr706 Md TL"/>
          <w:sz w:val="20"/>
          <w:szCs w:val="20"/>
        </w:rPr>
        <w:t xml:space="preserve"> ietvaros pārbaudīti gāzbetona mūra bloki, </w:t>
      </w:r>
      <w:proofErr w:type="spellStart"/>
      <w:r w:rsidRPr="00AA3E3F">
        <w:rPr>
          <w:rFonts w:ascii="Geometr706 Md TL" w:hAnsi="Geometr706 Md TL"/>
          <w:sz w:val="20"/>
          <w:szCs w:val="20"/>
        </w:rPr>
        <w:t>keramzītbetona</w:t>
      </w:r>
      <w:proofErr w:type="spellEnd"/>
      <w:r w:rsidRPr="00AA3E3F">
        <w:rPr>
          <w:rFonts w:ascii="Geometr706 Md TL" w:hAnsi="Geometr706 Md TL"/>
          <w:sz w:val="20"/>
          <w:szCs w:val="20"/>
        </w:rPr>
        <w:t xml:space="preserve"> mūra bloki un keramikas mūra bloki.</w:t>
      </w:r>
    </w:p>
    <w:p w:rsidR="00256E7F" w:rsidRPr="00AA3E3F" w:rsidRDefault="00256E7F" w:rsidP="00AA3E3F">
      <w:pPr>
        <w:spacing w:line="240" w:lineRule="auto"/>
        <w:jc w:val="both"/>
        <w:rPr>
          <w:rFonts w:ascii="Geometr706 Md TL" w:hAnsi="Geometr706 Md TL"/>
          <w:sz w:val="20"/>
          <w:szCs w:val="20"/>
        </w:rPr>
      </w:pPr>
      <w:r w:rsidRPr="00AA3E3F">
        <w:rPr>
          <w:rFonts w:ascii="Geometr706 Md TL" w:hAnsi="Geometr706 Md TL"/>
          <w:sz w:val="20"/>
          <w:szCs w:val="20"/>
        </w:rPr>
        <w:tab/>
        <w:t>Pārskata periodā veikti 13 apsekojumi un 16 pārbaudes, kuru laikā pārbaudīti 14 modeļi, no kuriem 12 konstatētas neatbilstības.</w:t>
      </w:r>
    </w:p>
    <w:p w:rsidR="00256E7F" w:rsidRPr="00AA3E3F" w:rsidRDefault="00256E7F" w:rsidP="00AA3E3F">
      <w:pPr>
        <w:spacing w:line="240" w:lineRule="auto"/>
        <w:jc w:val="both"/>
        <w:rPr>
          <w:rFonts w:ascii="Geometr706 Md TL" w:hAnsi="Geometr706 Md TL"/>
          <w:sz w:val="20"/>
          <w:szCs w:val="20"/>
        </w:rPr>
      </w:pPr>
      <w:r w:rsidRPr="00AA3E3F">
        <w:rPr>
          <w:rFonts w:ascii="Geometr706 Md TL" w:hAnsi="Geometr706 Md TL"/>
          <w:sz w:val="20"/>
          <w:szCs w:val="20"/>
        </w:rPr>
        <w:tab/>
        <w:t xml:space="preserve">Pēc veiktajām pārbaudēm ir redzams, ka vispopulārākie Latvijas tirgū ir </w:t>
      </w:r>
      <w:proofErr w:type="spellStart"/>
      <w:r w:rsidRPr="00AA3E3F">
        <w:rPr>
          <w:rFonts w:ascii="Geometr706 Md TL" w:hAnsi="Geometr706 Md TL"/>
          <w:sz w:val="20"/>
          <w:szCs w:val="20"/>
        </w:rPr>
        <w:t>keramzītbetona</w:t>
      </w:r>
      <w:proofErr w:type="spellEnd"/>
      <w:r w:rsidRPr="00AA3E3F">
        <w:rPr>
          <w:rFonts w:ascii="Geometr706 Md TL" w:hAnsi="Geometr706 Md TL"/>
          <w:sz w:val="20"/>
          <w:szCs w:val="20"/>
        </w:rPr>
        <w:t xml:space="preserve"> bloki (60 %), otro vietu ieņem gāzbetona bloki (30 %), bet keramikas blokus Latvijas tirgū piedāvā tikai viens ražotājs.</w:t>
      </w:r>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Lielākā daļa (64 %) bloku ir ražoti Latvijā, tikai 3 no pārbaudītajiem modeļiem ražoti Igaunijā, 1 – Lietuvā. Importēti mūra bloki tirdzniecības vietās nav konstatēti.</w:t>
      </w:r>
    </w:p>
    <w:p w:rsidR="00256E7F" w:rsidRPr="00AA3E3F" w:rsidRDefault="00256E7F" w:rsidP="00AA3E3F">
      <w:pPr>
        <w:spacing w:line="240" w:lineRule="auto"/>
        <w:jc w:val="both"/>
        <w:rPr>
          <w:rFonts w:ascii="Geometr706 Md TL" w:hAnsi="Geometr706 Md TL"/>
          <w:i/>
          <w:sz w:val="20"/>
          <w:szCs w:val="20"/>
        </w:rPr>
      </w:pPr>
      <w:r w:rsidRPr="00AA3E3F">
        <w:rPr>
          <w:rFonts w:ascii="Geometr706 Md TL" w:hAnsi="Geometr706 Md TL"/>
          <w:i/>
          <w:sz w:val="20"/>
          <w:szCs w:val="20"/>
        </w:rPr>
        <w:t>Pārbaudes pie ražotājiem</w:t>
      </w:r>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lastRenderedPageBreak/>
        <w:t>Veiktas pārbaudes pie 7 ražotājiem – 2 gāzbetona bloku, 4 </w:t>
      </w:r>
      <w:proofErr w:type="spellStart"/>
      <w:r w:rsidRPr="00AA3E3F">
        <w:rPr>
          <w:rFonts w:ascii="Geometr706 Md TL" w:hAnsi="Geometr706 Md TL"/>
          <w:sz w:val="20"/>
          <w:szCs w:val="20"/>
        </w:rPr>
        <w:t>keramzītbetona</w:t>
      </w:r>
      <w:proofErr w:type="spellEnd"/>
      <w:r w:rsidRPr="00AA3E3F">
        <w:rPr>
          <w:rFonts w:ascii="Geometr706 Md TL" w:hAnsi="Geometr706 Md TL"/>
          <w:sz w:val="20"/>
          <w:szCs w:val="20"/>
        </w:rPr>
        <w:t xml:space="preserve"> bloku, 1 keramikas bloku ražotāja, pārbaudot gan atbilstību apliecinošos dokumentus un iepakojuma marķējumu, gan arī ražošanas procesa kontroles dokumentāciju un pierakstus. Ražotājiem ir sniegti norādījumi ražošanas procesa kontroles pilnveidošanai. Pārbaužu rezultātā tika konstatētas šādas neatbilstības:</w:t>
      </w:r>
    </w:p>
    <w:p w:rsidR="00256E7F" w:rsidRPr="00AA3E3F" w:rsidRDefault="00256E7F" w:rsidP="00AA3E3F">
      <w:pPr>
        <w:numPr>
          <w:ilvl w:val="0"/>
          <w:numId w:val="15"/>
        </w:numPr>
        <w:spacing w:after="0" w:line="240" w:lineRule="auto"/>
        <w:jc w:val="both"/>
        <w:rPr>
          <w:rFonts w:ascii="Geometr706 Md TL" w:hAnsi="Geometr706 Md TL"/>
          <w:sz w:val="20"/>
          <w:szCs w:val="20"/>
        </w:rPr>
      </w:pPr>
      <w:r w:rsidRPr="00AA3E3F">
        <w:rPr>
          <w:rFonts w:ascii="Geometr706 Md TL" w:hAnsi="Geometr706 Md TL"/>
          <w:sz w:val="20"/>
          <w:szCs w:val="20"/>
        </w:rPr>
        <w:t>nepareiza mūra elementa klasifikācija paziņotās institūcijas izsniegtajā ražošanas procesa kontroles sertifikātā. Neatbilstība ir novērsta;</w:t>
      </w:r>
    </w:p>
    <w:p w:rsidR="00256E7F" w:rsidRPr="00AA3E3F" w:rsidRDefault="00256E7F" w:rsidP="00AA3E3F">
      <w:pPr>
        <w:numPr>
          <w:ilvl w:val="0"/>
          <w:numId w:val="15"/>
        </w:numPr>
        <w:spacing w:after="0" w:line="240" w:lineRule="auto"/>
        <w:jc w:val="both"/>
        <w:rPr>
          <w:rFonts w:ascii="Geometr706 Md TL" w:hAnsi="Geometr706 Md TL"/>
          <w:sz w:val="20"/>
          <w:szCs w:val="20"/>
        </w:rPr>
      </w:pPr>
      <w:r w:rsidRPr="00AA3E3F">
        <w:rPr>
          <w:rFonts w:ascii="Geometr706 Md TL" w:hAnsi="Geometr706 Md TL"/>
          <w:sz w:val="20"/>
          <w:szCs w:val="20"/>
        </w:rPr>
        <w:t>atbilstības deklarācijā un CE zīmes marķējumā deklarētās vērtības atšķiras no tām, kas dotas ražošanas procesa kontroles sertifikātā vai ražošanas procesa kontroles dokumentācijā. Neatbilstības tika novērstas;</w:t>
      </w:r>
    </w:p>
    <w:p w:rsidR="00256E7F" w:rsidRPr="00AA3E3F" w:rsidRDefault="00256E7F" w:rsidP="00AA3E3F">
      <w:pPr>
        <w:numPr>
          <w:ilvl w:val="0"/>
          <w:numId w:val="15"/>
        </w:numPr>
        <w:spacing w:after="0" w:line="240" w:lineRule="auto"/>
        <w:jc w:val="both"/>
        <w:rPr>
          <w:rFonts w:ascii="Geometr706 Md TL" w:hAnsi="Geometr706 Md TL"/>
          <w:sz w:val="20"/>
          <w:szCs w:val="20"/>
        </w:rPr>
      </w:pPr>
      <w:r w:rsidRPr="00AA3E3F">
        <w:rPr>
          <w:rFonts w:ascii="Geometr706 Md TL" w:hAnsi="Geometr706 Md TL"/>
          <w:sz w:val="20"/>
          <w:szCs w:val="20"/>
        </w:rPr>
        <w:t>nav noteikti visi obligāti norādāmie būtiskie raksturlielumi. Neatbilstības tika novērstas;</w:t>
      </w:r>
    </w:p>
    <w:p w:rsidR="00256E7F" w:rsidRDefault="00256E7F" w:rsidP="00AA3E3F">
      <w:pPr>
        <w:numPr>
          <w:ilvl w:val="0"/>
          <w:numId w:val="15"/>
        </w:numPr>
        <w:spacing w:after="0" w:line="240" w:lineRule="auto"/>
        <w:jc w:val="both"/>
        <w:rPr>
          <w:rFonts w:ascii="Geometr706 Md TL" w:hAnsi="Geometr706 Md TL"/>
          <w:sz w:val="20"/>
          <w:szCs w:val="20"/>
        </w:rPr>
      </w:pPr>
      <w:r w:rsidRPr="00AA3E3F">
        <w:rPr>
          <w:rFonts w:ascii="Geometr706 Md TL" w:hAnsi="Geometr706 Md TL"/>
          <w:sz w:val="20"/>
          <w:szCs w:val="20"/>
        </w:rPr>
        <w:t xml:space="preserve">piemērota neatbilstoša atbilstības novērtēšanas procedūra, izmantots uz </w:t>
      </w:r>
      <w:proofErr w:type="spellStart"/>
      <w:r w:rsidRPr="00AA3E3F">
        <w:rPr>
          <w:rFonts w:ascii="Geometr706 Md TL" w:hAnsi="Geometr706 Md TL"/>
          <w:sz w:val="20"/>
          <w:szCs w:val="20"/>
        </w:rPr>
        <w:t>keramzītbetona</w:t>
      </w:r>
      <w:proofErr w:type="spellEnd"/>
      <w:r w:rsidRPr="00AA3E3F">
        <w:rPr>
          <w:rFonts w:ascii="Geometr706 Md TL" w:hAnsi="Geometr706 Md TL"/>
          <w:sz w:val="20"/>
          <w:szCs w:val="20"/>
        </w:rPr>
        <w:t xml:space="preserve"> mūra blokiem neattiecināms saskaņotais standarts. Atbilstības novērtēšanas procedūrā bija iesaistīta SIA „Latvijas Zinātņu akadēmijas Sertifikācijas centrs”, kas bija izsniedzis ražošanas procesa kontroles sertifikātu kā paziņotā institūcija, apliecinot ražošanas procesa kontroles sistēmas atbilstību standartam. Tā kā standarts uz konkrēto būvizstrādājumu nebija attiecināms, neatbilstība tika novērsta.</w:t>
      </w:r>
    </w:p>
    <w:p w:rsidR="000A0AA3" w:rsidRPr="000A0AA3" w:rsidRDefault="000A0AA3" w:rsidP="000A0AA3">
      <w:pPr>
        <w:spacing w:after="0" w:line="240" w:lineRule="auto"/>
        <w:ind w:left="720"/>
        <w:jc w:val="both"/>
        <w:rPr>
          <w:rFonts w:ascii="Geometr706 Md TL" w:hAnsi="Geometr706 Md TL"/>
          <w:sz w:val="20"/>
          <w:szCs w:val="20"/>
        </w:rPr>
      </w:pPr>
    </w:p>
    <w:p w:rsidR="00256E7F" w:rsidRPr="00AA3E3F" w:rsidRDefault="00256E7F" w:rsidP="00AA3E3F">
      <w:pPr>
        <w:spacing w:line="240" w:lineRule="auto"/>
        <w:jc w:val="both"/>
        <w:rPr>
          <w:rFonts w:ascii="Geometr706 Md TL" w:hAnsi="Geometr706 Md TL"/>
          <w:i/>
          <w:sz w:val="20"/>
          <w:szCs w:val="20"/>
        </w:rPr>
      </w:pPr>
      <w:r w:rsidRPr="00AA3E3F">
        <w:rPr>
          <w:rFonts w:ascii="Geometr706 Md TL" w:hAnsi="Geometr706 Md TL"/>
          <w:i/>
          <w:sz w:val="20"/>
          <w:szCs w:val="20"/>
        </w:rPr>
        <w:t>Pārbaudes pie izplatītājiem</w:t>
      </w:r>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Pavisam pārbaudīti 8 izplatītāji. Visos gadījumos izsekota piegādes ķēde: ja konstatēts, ka būvizstrādājums ražots Latvijā, veikta pārbaude ražotnē (4 gadījumos); ja ražotājs ir no citas valsts, pārbaude veikta pie pirmā preces ievedēja Latvijā.</w:t>
      </w:r>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38 % gadījumu izplatītājs nevarēja uzrādīt atbilstības deklarāciju, 50 % gadījumu tā bija neatbilstoša.</w:t>
      </w:r>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Papildu pārbaužu rezultātā tika konstatētas šādas neatbilstības:</w:t>
      </w:r>
    </w:p>
    <w:p w:rsidR="00256E7F" w:rsidRPr="00AA3E3F" w:rsidRDefault="00256E7F" w:rsidP="00AA3E3F">
      <w:pPr>
        <w:numPr>
          <w:ilvl w:val="0"/>
          <w:numId w:val="16"/>
        </w:numPr>
        <w:spacing w:after="0" w:line="240" w:lineRule="auto"/>
        <w:jc w:val="both"/>
        <w:rPr>
          <w:rFonts w:ascii="Geometr706 Md TL" w:hAnsi="Geometr706 Md TL"/>
          <w:sz w:val="20"/>
          <w:szCs w:val="20"/>
        </w:rPr>
      </w:pPr>
      <w:r w:rsidRPr="00AA3E3F">
        <w:rPr>
          <w:rFonts w:ascii="Geometr706 Md TL" w:hAnsi="Geometr706 Md TL"/>
          <w:sz w:val="20"/>
          <w:szCs w:val="20"/>
        </w:rPr>
        <w:t>deklarācijā un marķējumā dota atsauce uz paziņotās institūcijas izdotu ražošanas procesa kontroles sertifikātu, kuram bloku ražošanas brīdī bija beidzies derīguma termiņš (ražotājvalsts – Igaunija). Preču atlikumu (256 m</w:t>
      </w:r>
      <w:r w:rsidRPr="00AA3E3F">
        <w:rPr>
          <w:rFonts w:ascii="Geometr706 Md TL" w:hAnsi="Geometr706 Md TL"/>
          <w:sz w:val="20"/>
          <w:szCs w:val="20"/>
          <w:vertAlign w:val="superscript"/>
        </w:rPr>
        <w:t>3</w:t>
      </w:r>
      <w:r w:rsidRPr="00AA3E3F">
        <w:rPr>
          <w:rFonts w:ascii="Geometr706 Md TL" w:hAnsi="Geometr706 Md TL"/>
          <w:sz w:val="20"/>
          <w:szCs w:val="20"/>
        </w:rPr>
        <w:t>) tirdzniecība tika apturēta līdz neatbilstības novēršanai. Neatbilstība ir novērsta;</w:t>
      </w:r>
    </w:p>
    <w:p w:rsidR="00256E7F" w:rsidRDefault="00256E7F" w:rsidP="00AA3E3F">
      <w:pPr>
        <w:numPr>
          <w:ilvl w:val="0"/>
          <w:numId w:val="16"/>
        </w:numPr>
        <w:spacing w:after="0" w:line="240" w:lineRule="auto"/>
        <w:jc w:val="both"/>
        <w:rPr>
          <w:rFonts w:ascii="Geometr706 Md TL" w:hAnsi="Geometr706 Md TL"/>
          <w:sz w:val="20"/>
          <w:szCs w:val="20"/>
        </w:rPr>
      </w:pPr>
      <w:r w:rsidRPr="00AA3E3F">
        <w:rPr>
          <w:rFonts w:ascii="Geometr706 Md TL" w:hAnsi="Geometr706 Md TL"/>
          <w:sz w:val="20"/>
          <w:szCs w:val="20"/>
        </w:rPr>
        <w:t>deklarētās vērtības neatbilst marķējumā pie CE zīmes norādītajiem (ražotājvalsts – Igaunija). Neatbilstība ir novērsta.</w:t>
      </w:r>
    </w:p>
    <w:p w:rsidR="000A0AA3" w:rsidRPr="000A0AA3" w:rsidRDefault="000A0AA3" w:rsidP="000A0AA3">
      <w:pPr>
        <w:spacing w:after="0" w:line="240" w:lineRule="auto"/>
        <w:ind w:left="720"/>
        <w:jc w:val="both"/>
        <w:rPr>
          <w:rFonts w:ascii="Geometr706 Md TL" w:hAnsi="Geometr706 Md TL"/>
          <w:sz w:val="20"/>
          <w:szCs w:val="20"/>
        </w:rPr>
      </w:pPr>
    </w:p>
    <w:p w:rsidR="00256E7F" w:rsidRPr="00AA3E3F" w:rsidRDefault="00256E7F" w:rsidP="00AA3E3F">
      <w:pPr>
        <w:spacing w:line="240" w:lineRule="auto"/>
        <w:jc w:val="both"/>
        <w:rPr>
          <w:rFonts w:ascii="Geometr706 Md TL" w:hAnsi="Geometr706 Md TL"/>
          <w:i/>
          <w:sz w:val="20"/>
          <w:szCs w:val="20"/>
          <w:u w:val="single"/>
        </w:rPr>
      </w:pPr>
      <w:r w:rsidRPr="00AA3E3F">
        <w:rPr>
          <w:rFonts w:ascii="Geometr706 Md TL" w:hAnsi="Geometr706 Md TL"/>
          <w:i/>
          <w:sz w:val="20"/>
          <w:szCs w:val="20"/>
          <w:u w:val="single"/>
        </w:rPr>
        <w:t xml:space="preserve">Būvizstrādājumu – uzputotā putu polistirola siltumizolācijas materiālu un logu – atbilstības uzlabošanas </w:t>
      </w:r>
      <w:proofErr w:type="spellStart"/>
      <w:r w:rsidRPr="00AA3E3F">
        <w:rPr>
          <w:rFonts w:ascii="Geometr706 Md TL" w:hAnsi="Geometr706 Md TL"/>
          <w:i/>
          <w:sz w:val="20"/>
          <w:szCs w:val="20"/>
          <w:u w:val="single"/>
        </w:rPr>
        <w:t>apakšproj</w:t>
      </w:r>
      <w:r w:rsidR="00AA3E3F">
        <w:rPr>
          <w:rFonts w:ascii="Geometr706 Md TL" w:hAnsi="Geometr706 Md TL"/>
          <w:i/>
          <w:sz w:val="20"/>
          <w:szCs w:val="20"/>
          <w:u w:val="single"/>
        </w:rPr>
        <w:t>ekts</w:t>
      </w:r>
      <w:proofErr w:type="spellEnd"/>
      <w:r w:rsidR="00AA3E3F">
        <w:rPr>
          <w:rFonts w:ascii="Geometr706 Md TL" w:hAnsi="Geometr706 Md TL"/>
          <w:i/>
          <w:sz w:val="20"/>
          <w:szCs w:val="20"/>
          <w:u w:val="single"/>
        </w:rPr>
        <w:t xml:space="preserve"> ar preču paraugu testēšanu</w:t>
      </w:r>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Projekta mērķis: pārbaudīt Latvijā piedāvāto uzputotā putu polistirola siltumizolācijas materiālu un logu būtisko raksturlielumu (</w:t>
      </w:r>
      <w:proofErr w:type="spellStart"/>
      <w:r w:rsidRPr="00AA3E3F">
        <w:rPr>
          <w:rFonts w:ascii="Geometr706 Md TL" w:hAnsi="Geometr706 Md TL"/>
          <w:sz w:val="20"/>
          <w:szCs w:val="20"/>
        </w:rPr>
        <w:t>siltumvadītspēja</w:t>
      </w:r>
      <w:proofErr w:type="spellEnd"/>
      <w:r w:rsidRPr="00AA3E3F">
        <w:rPr>
          <w:rFonts w:ascii="Geometr706 Md TL" w:hAnsi="Geometr706 Md TL"/>
          <w:sz w:val="20"/>
          <w:szCs w:val="20"/>
        </w:rPr>
        <w:t xml:space="preserve">, </w:t>
      </w:r>
      <w:proofErr w:type="spellStart"/>
      <w:r w:rsidRPr="00AA3E3F">
        <w:rPr>
          <w:rFonts w:ascii="Geometr706 Md TL" w:hAnsi="Geometr706 Md TL"/>
          <w:sz w:val="20"/>
          <w:szCs w:val="20"/>
        </w:rPr>
        <w:t>siltumcaurlaidība</w:t>
      </w:r>
      <w:proofErr w:type="spellEnd"/>
      <w:r w:rsidRPr="00AA3E3F">
        <w:rPr>
          <w:rFonts w:ascii="Geometr706 Md TL" w:hAnsi="Geometr706 Md TL"/>
          <w:sz w:val="20"/>
          <w:szCs w:val="20"/>
        </w:rPr>
        <w:t>, spiedes spriegums pie 10 % deformācijas) deklarēto vērtību atbilstību faktiskajām vērtībām.</w:t>
      </w:r>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Ekspertīze veikta 9 uzputota putu polistirola siltumizolācijas materiālu paraugiem. Ekspertīzes rezultātā tika konstatēts, ka 5 uzputotā putu polistirola siltumizolācijas materiālu deklarētās vērtības neatbilst faktiskajām (spiedes spriegums pie 10 % deformācijas, siltumvadītspēja, biezums): 3 no neatbilstošajiem modeļiem ir ražoti Lietuvā, tostarp 1 modeli Latvijas komersants tirgū izplata ar savu vārdu, tādējādi ir uzskatāms par to ražotāju; 2 modeļi ražoti Polijā. PTAC ir veicis nepieciešamās darbības, lai izņemtu no tirgus neatbilstošo modeļu atlikumus, kā arī ir informējis uzputotā putu polistirola siltumizolācijas materiālu ražotājus un attiecīgās valsts kompetentās iestādes par konstatētajām neatbilstībām.</w:t>
      </w:r>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lastRenderedPageBreak/>
        <w:t xml:space="preserve">Ir veikta 6 logu paraugu ekspertīze, lai pārbaudītu to deklarētā siltumvadītspējas koeficienta atbilstību faktiskajam rādītājam. Tā kā logi nav pieejami kā gatavi būvizstrādājumi tirdzniecības vietās, tika veikti </w:t>
      </w:r>
      <w:proofErr w:type="spellStart"/>
      <w:r w:rsidRPr="00AA3E3F">
        <w:rPr>
          <w:rFonts w:ascii="Geometr706 Md TL" w:hAnsi="Geometr706 Md TL"/>
          <w:sz w:val="20"/>
          <w:szCs w:val="20"/>
        </w:rPr>
        <w:t>kontrolpasūtījumi</w:t>
      </w:r>
      <w:proofErr w:type="spellEnd"/>
      <w:r w:rsidRPr="00AA3E3F">
        <w:rPr>
          <w:rFonts w:ascii="Geometr706 Md TL" w:hAnsi="Geometr706 Md TL"/>
          <w:sz w:val="20"/>
          <w:szCs w:val="20"/>
        </w:rPr>
        <w:t xml:space="preserve"> un logi tika saražoti pēc individuālā pasūtījuma. Ekspertīzes rezultāti liecina, ka 3 logu (2 logi – Polijas ražotāji, 1 – Latvijas) deklarētās </w:t>
      </w:r>
      <w:r w:rsidR="00AA3E3F">
        <w:rPr>
          <w:rFonts w:ascii="Geometr706 Md TL" w:hAnsi="Geometr706 Md TL"/>
          <w:sz w:val="20"/>
          <w:szCs w:val="20"/>
        </w:rPr>
        <w:t>vērtības neatbilda faktiskajām.</w:t>
      </w:r>
    </w:p>
    <w:p w:rsidR="00256E7F" w:rsidRPr="00AA3E3F" w:rsidRDefault="00256E7F" w:rsidP="000A0AA3">
      <w:pPr>
        <w:rPr>
          <w:rFonts w:ascii="Geometr706 Md TL" w:hAnsi="Geometr706 Md TL"/>
          <w:b/>
          <w:sz w:val="20"/>
          <w:szCs w:val="20"/>
        </w:rPr>
      </w:pPr>
      <w:r w:rsidRPr="00AA3E3F">
        <w:rPr>
          <w:rFonts w:ascii="Geometr706 Md TL" w:hAnsi="Geometr706 Md TL"/>
          <w:b/>
          <w:sz w:val="20"/>
          <w:szCs w:val="20"/>
        </w:rPr>
        <w:t>2) </w:t>
      </w:r>
      <w:proofErr w:type="spellStart"/>
      <w:r w:rsidRPr="00AA3E3F">
        <w:rPr>
          <w:rFonts w:ascii="Geometr706 Md TL" w:hAnsi="Geometr706 Md TL"/>
          <w:b/>
          <w:sz w:val="20"/>
          <w:szCs w:val="20"/>
        </w:rPr>
        <w:t>Elekropreču</w:t>
      </w:r>
      <w:proofErr w:type="spellEnd"/>
      <w:r w:rsidRPr="00AA3E3F">
        <w:rPr>
          <w:rFonts w:ascii="Geometr706 Md TL" w:hAnsi="Geometr706 Md TL"/>
          <w:b/>
          <w:sz w:val="20"/>
          <w:szCs w:val="20"/>
        </w:rPr>
        <w:t xml:space="preserve"> drošuma un atbilstības uzlabošanas projekts ar preču paraugu testēšanu</w:t>
      </w:r>
    </w:p>
    <w:p w:rsidR="00256E7F" w:rsidRPr="00AA3E3F" w:rsidRDefault="00256E7F" w:rsidP="00AA3E3F">
      <w:pPr>
        <w:spacing w:line="240" w:lineRule="auto"/>
        <w:jc w:val="both"/>
        <w:rPr>
          <w:rFonts w:ascii="Geometr706 Md TL" w:hAnsi="Geometr706 Md TL"/>
          <w:i/>
          <w:sz w:val="20"/>
          <w:szCs w:val="20"/>
          <w:u w:val="single"/>
        </w:rPr>
      </w:pPr>
      <w:r w:rsidRPr="00AA3E3F">
        <w:rPr>
          <w:rFonts w:ascii="Geometr706 Md TL" w:hAnsi="Geometr706 Md TL"/>
          <w:i/>
          <w:sz w:val="20"/>
          <w:szCs w:val="20"/>
          <w:u w:val="single"/>
        </w:rPr>
        <w:t xml:space="preserve">Elektropreču drošuma un atbilstības uzlabošanas </w:t>
      </w:r>
      <w:proofErr w:type="spellStart"/>
      <w:r w:rsidRPr="00AA3E3F">
        <w:rPr>
          <w:rFonts w:ascii="Geometr706 Md TL" w:hAnsi="Geometr706 Md TL"/>
          <w:i/>
          <w:sz w:val="20"/>
          <w:szCs w:val="20"/>
          <w:u w:val="single"/>
        </w:rPr>
        <w:t>apakšprojekts</w:t>
      </w:r>
      <w:proofErr w:type="spellEnd"/>
      <w:r w:rsidRPr="00AA3E3F">
        <w:rPr>
          <w:rFonts w:ascii="Geometr706 Md TL" w:hAnsi="Geometr706 Md TL"/>
          <w:i/>
          <w:sz w:val="20"/>
          <w:szCs w:val="20"/>
          <w:u w:val="single"/>
        </w:rPr>
        <w:t xml:space="preserve"> ar preču paraugu testēšanu attiecībā uz elektromagnētisko saderību</w:t>
      </w:r>
    </w:p>
    <w:p w:rsidR="00256E7F" w:rsidRPr="00AA3E3F" w:rsidRDefault="00256E7F" w:rsidP="00AA3E3F">
      <w:pPr>
        <w:spacing w:line="240" w:lineRule="auto"/>
        <w:ind w:firstLine="720"/>
        <w:jc w:val="both"/>
        <w:rPr>
          <w:rFonts w:ascii="Geometr706 Md TL" w:hAnsi="Geometr706 Md TL"/>
          <w:sz w:val="20"/>
          <w:szCs w:val="20"/>
        </w:rPr>
      </w:pPr>
      <w:proofErr w:type="spellStart"/>
      <w:r w:rsidRPr="00AA3E3F">
        <w:rPr>
          <w:rFonts w:ascii="Geometr706 Md TL" w:hAnsi="Geometr706 Md TL"/>
          <w:sz w:val="20"/>
          <w:szCs w:val="20"/>
        </w:rPr>
        <w:t>Apakšprojekta</w:t>
      </w:r>
      <w:proofErr w:type="spellEnd"/>
      <w:r w:rsidRPr="00AA3E3F">
        <w:rPr>
          <w:rFonts w:ascii="Geometr706 Md TL" w:hAnsi="Geometr706 Md TL"/>
          <w:sz w:val="20"/>
          <w:szCs w:val="20"/>
        </w:rPr>
        <w:t xml:space="preserve"> mērķis bija pārliecināties par Latvijā piedāvāto barošanas bloku, tālvadības rotaļlietu, mikroviļņu krāšņu un </w:t>
      </w:r>
      <w:r w:rsidRPr="00AA3E3F">
        <w:rPr>
          <w:rFonts w:ascii="Geometr706 Md TL" w:hAnsi="Geometr706 Md TL"/>
          <w:i/>
          <w:sz w:val="20"/>
          <w:szCs w:val="20"/>
        </w:rPr>
        <w:t>LED</w:t>
      </w:r>
      <w:r w:rsidRPr="00AA3E3F">
        <w:rPr>
          <w:rFonts w:ascii="Geometr706 Md TL" w:hAnsi="Geometr706 Md TL"/>
          <w:sz w:val="20"/>
          <w:szCs w:val="20"/>
        </w:rPr>
        <w:t xml:space="preserve"> apgaismes ierīču izstrādājumu atbilstību normatīvo aktu prasībām, veicot preču paraugu testēšanu.</w:t>
      </w:r>
    </w:p>
    <w:p w:rsidR="00256E7F" w:rsidRPr="00AA3E3F" w:rsidRDefault="00256E7F" w:rsidP="00AA3E3F">
      <w:pPr>
        <w:spacing w:line="240" w:lineRule="auto"/>
        <w:jc w:val="both"/>
        <w:rPr>
          <w:rFonts w:ascii="Geometr706 Md TL" w:hAnsi="Geometr706 Md TL"/>
          <w:sz w:val="20"/>
          <w:szCs w:val="20"/>
        </w:rPr>
      </w:pPr>
      <w:r w:rsidRPr="00AA3E3F">
        <w:rPr>
          <w:rFonts w:ascii="Geometr706 Md TL" w:hAnsi="Geometr706 Md TL"/>
          <w:sz w:val="20"/>
          <w:szCs w:val="20"/>
        </w:rPr>
        <w:tab/>
        <w:t>PTAC veica 42 preču modeļu – 24 </w:t>
      </w:r>
      <w:r w:rsidRPr="00AA3E3F">
        <w:rPr>
          <w:rFonts w:ascii="Geometr706 Md TL" w:hAnsi="Geometr706 Md TL"/>
          <w:i/>
          <w:sz w:val="20"/>
          <w:szCs w:val="20"/>
        </w:rPr>
        <w:t>LED</w:t>
      </w:r>
      <w:r w:rsidRPr="00AA3E3F">
        <w:rPr>
          <w:rFonts w:ascii="Geometr706 Md TL" w:hAnsi="Geometr706 Md TL"/>
          <w:sz w:val="20"/>
          <w:szCs w:val="20"/>
        </w:rPr>
        <w:t xml:space="preserve"> apgaismes ierīču, spuldžu, 3 mikroviļņu krāšņu, 6 barošanas bloku, 9 </w:t>
      </w:r>
      <w:proofErr w:type="spellStart"/>
      <w:r w:rsidRPr="00AA3E3F">
        <w:rPr>
          <w:rFonts w:ascii="Geometr706 Md TL" w:hAnsi="Geometr706 Md TL"/>
          <w:sz w:val="20"/>
          <w:szCs w:val="20"/>
        </w:rPr>
        <w:t>radiovadāmo</w:t>
      </w:r>
      <w:proofErr w:type="spellEnd"/>
      <w:r w:rsidRPr="00AA3E3F">
        <w:rPr>
          <w:rFonts w:ascii="Geometr706 Md TL" w:hAnsi="Geometr706 Md TL"/>
          <w:sz w:val="20"/>
          <w:szCs w:val="20"/>
        </w:rPr>
        <w:t xml:space="preserve"> rotaļlietu – ekspertīzi, t. </w:t>
      </w:r>
      <w:proofErr w:type="spellStart"/>
      <w:r w:rsidRPr="00AA3E3F">
        <w:rPr>
          <w:rFonts w:ascii="Geometr706 Md TL" w:hAnsi="Geometr706 Md TL"/>
          <w:sz w:val="20"/>
          <w:szCs w:val="20"/>
        </w:rPr>
        <w:t>sk</w:t>
      </w:r>
      <w:proofErr w:type="spellEnd"/>
      <w:r w:rsidRPr="00AA3E3F">
        <w:rPr>
          <w:rFonts w:ascii="Geometr706 Md TL" w:hAnsi="Geometr706 Md TL"/>
          <w:sz w:val="20"/>
          <w:szCs w:val="20"/>
        </w:rPr>
        <w:t>. 23 paraugi bija izņemti sadarbībā ar VID Muitas pārvaldi uz robežas. Ekspertīzes rezultātā 19 modeļiem (15 </w:t>
      </w:r>
      <w:r w:rsidRPr="00AA3E3F">
        <w:rPr>
          <w:rFonts w:ascii="Geometr706 Md TL" w:hAnsi="Geometr706 Md TL"/>
          <w:i/>
          <w:sz w:val="20"/>
          <w:szCs w:val="20"/>
        </w:rPr>
        <w:t>LED</w:t>
      </w:r>
      <w:r w:rsidRPr="00AA3E3F">
        <w:rPr>
          <w:rFonts w:ascii="Geometr706 Md TL" w:hAnsi="Geometr706 Md TL"/>
          <w:sz w:val="20"/>
          <w:szCs w:val="20"/>
        </w:rPr>
        <w:t xml:space="preserve"> apgaismes ierīces, spuldzes, 2 barošanas bloki un 2 </w:t>
      </w:r>
      <w:proofErr w:type="spellStart"/>
      <w:r w:rsidRPr="00AA3E3F">
        <w:rPr>
          <w:rFonts w:ascii="Geometr706 Md TL" w:hAnsi="Geometr706 Md TL"/>
          <w:sz w:val="20"/>
          <w:szCs w:val="20"/>
        </w:rPr>
        <w:t>radiovadāmās</w:t>
      </w:r>
      <w:proofErr w:type="spellEnd"/>
      <w:r w:rsidRPr="00AA3E3F">
        <w:rPr>
          <w:rFonts w:ascii="Geometr706 Md TL" w:hAnsi="Geometr706 Md TL"/>
          <w:sz w:val="20"/>
          <w:szCs w:val="20"/>
        </w:rPr>
        <w:t xml:space="preserve"> rotaļlietas) ir konstatētas neatbilstības – tās nenodrošina būtisko prasību izpildi attiecībā uz emitētajiem vadāmības traucējumiem un ēterā emitētajiem traucējumiem.</w:t>
      </w:r>
    </w:p>
    <w:p w:rsidR="00256E7F" w:rsidRPr="00AA3E3F" w:rsidRDefault="00256E7F" w:rsidP="00AA3E3F">
      <w:pPr>
        <w:spacing w:line="240" w:lineRule="auto"/>
        <w:jc w:val="both"/>
        <w:rPr>
          <w:rFonts w:ascii="Geometr706 Md TL" w:hAnsi="Geometr706 Md TL"/>
          <w:i/>
          <w:sz w:val="20"/>
          <w:szCs w:val="20"/>
          <w:u w:val="single"/>
        </w:rPr>
      </w:pPr>
      <w:r w:rsidRPr="00AA3E3F">
        <w:rPr>
          <w:rFonts w:ascii="Geometr706 Md TL" w:hAnsi="Geometr706 Md TL"/>
          <w:i/>
          <w:sz w:val="20"/>
          <w:szCs w:val="20"/>
          <w:u w:val="single"/>
        </w:rPr>
        <w:t xml:space="preserve">Elektropreču drošuma un atbilstības uzlabošanas </w:t>
      </w:r>
      <w:proofErr w:type="spellStart"/>
      <w:r w:rsidRPr="00AA3E3F">
        <w:rPr>
          <w:rFonts w:ascii="Geometr706 Md TL" w:hAnsi="Geometr706 Md TL"/>
          <w:i/>
          <w:sz w:val="20"/>
          <w:szCs w:val="20"/>
          <w:u w:val="single"/>
        </w:rPr>
        <w:t>apakšprojekts</w:t>
      </w:r>
      <w:proofErr w:type="spellEnd"/>
      <w:r w:rsidRPr="00AA3E3F">
        <w:rPr>
          <w:rFonts w:ascii="Geometr706 Md TL" w:hAnsi="Geometr706 Md TL"/>
          <w:i/>
          <w:sz w:val="20"/>
          <w:szCs w:val="20"/>
          <w:u w:val="single"/>
        </w:rPr>
        <w:t xml:space="preserve"> ar preču paraugu testēšanu attiecībā uz elektrodrošību</w:t>
      </w:r>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 xml:space="preserve">Realizējot projektu, PTAC piedalījās ES dalībvalstu </w:t>
      </w:r>
      <w:r w:rsidRPr="00AA3E3F">
        <w:rPr>
          <w:rFonts w:ascii="Geometr706 Md TL" w:hAnsi="Geometr706 Md TL"/>
          <w:i/>
          <w:sz w:val="20"/>
          <w:szCs w:val="20"/>
        </w:rPr>
        <w:t>LVD ADCO</w:t>
      </w:r>
      <w:r w:rsidRPr="00AA3E3F">
        <w:rPr>
          <w:rFonts w:ascii="Geometr706 Md TL" w:hAnsi="Geometr706 Md TL"/>
          <w:sz w:val="20"/>
          <w:szCs w:val="20"/>
        </w:rPr>
        <w:t xml:space="preserve"> darba grupas uzsāktajā projektā par </w:t>
      </w:r>
      <w:r w:rsidRPr="00AA3E3F">
        <w:rPr>
          <w:rFonts w:ascii="Geometr706 Md TL" w:hAnsi="Geometr706 Md TL"/>
          <w:i/>
          <w:sz w:val="20"/>
          <w:szCs w:val="20"/>
        </w:rPr>
        <w:t>LED</w:t>
      </w:r>
      <w:r w:rsidRPr="00AA3E3F">
        <w:rPr>
          <w:rFonts w:ascii="Geometr706 Md TL" w:hAnsi="Geometr706 Md TL"/>
          <w:sz w:val="20"/>
          <w:szCs w:val="20"/>
        </w:rPr>
        <w:t xml:space="preserve"> un </w:t>
      </w:r>
      <w:r w:rsidRPr="00AA3E3F">
        <w:rPr>
          <w:rFonts w:ascii="Geometr706 Md TL" w:hAnsi="Geometr706 Md TL"/>
          <w:i/>
          <w:sz w:val="20"/>
          <w:szCs w:val="20"/>
        </w:rPr>
        <w:t>CFL</w:t>
      </w:r>
      <w:r w:rsidRPr="00AA3E3F">
        <w:rPr>
          <w:rFonts w:ascii="Geometr706 Md TL" w:hAnsi="Geometr706 Md TL"/>
          <w:sz w:val="20"/>
          <w:szCs w:val="20"/>
        </w:rPr>
        <w:t xml:space="preserve"> spuldžu tirgus uzraudzību. PTAC veica 15 mājsaimniecības un līdzīga lietojuma elektropreču un 20 </w:t>
      </w:r>
      <w:r w:rsidRPr="00AA3E3F">
        <w:rPr>
          <w:rFonts w:ascii="Geometr706 Md TL" w:hAnsi="Geometr706 Md TL"/>
          <w:i/>
          <w:sz w:val="20"/>
          <w:szCs w:val="20"/>
        </w:rPr>
        <w:t>LED</w:t>
      </w:r>
      <w:r w:rsidRPr="00AA3E3F">
        <w:rPr>
          <w:rFonts w:ascii="Geometr706 Md TL" w:hAnsi="Geometr706 Md TL"/>
          <w:sz w:val="20"/>
          <w:szCs w:val="20"/>
        </w:rPr>
        <w:t xml:space="preserve"> un </w:t>
      </w:r>
      <w:r w:rsidRPr="00AA3E3F">
        <w:rPr>
          <w:rFonts w:ascii="Geometr706 Md TL" w:hAnsi="Geometr706 Md TL"/>
          <w:i/>
          <w:sz w:val="20"/>
          <w:szCs w:val="20"/>
        </w:rPr>
        <w:t>CFL</w:t>
      </w:r>
      <w:r w:rsidRPr="00AA3E3F">
        <w:rPr>
          <w:rFonts w:ascii="Geometr706 Md TL" w:hAnsi="Geometr706 Md TL"/>
          <w:sz w:val="20"/>
          <w:szCs w:val="20"/>
        </w:rPr>
        <w:t xml:space="preserve"> spuldžu paraugu ekspertīzi, t. sk. 24 paraugi tika izņemti sadarbībā ar VID Muitas pārvaldi uz robežas. Būtiskajām prasībām neatbilda 9 modeļi no 15 testētajām mājsaimniecības un līdzīga lietojuma elektroprecēm, savukārt būtiskajām </w:t>
      </w:r>
      <w:proofErr w:type="spellStart"/>
      <w:r w:rsidRPr="00AA3E3F">
        <w:rPr>
          <w:rFonts w:ascii="Geometr706 Md TL" w:hAnsi="Geometr706 Md TL"/>
          <w:sz w:val="20"/>
          <w:szCs w:val="20"/>
        </w:rPr>
        <w:t>elektrodrošuma</w:t>
      </w:r>
      <w:proofErr w:type="spellEnd"/>
      <w:r w:rsidRPr="00AA3E3F">
        <w:rPr>
          <w:rFonts w:ascii="Geometr706 Md TL" w:hAnsi="Geometr706 Md TL"/>
          <w:sz w:val="20"/>
          <w:szCs w:val="20"/>
        </w:rPr>
        <w:t xml:space="preserve"> prasībām neatbilda 19 no 20 testētajām </w:t>
      </w:r>
      <w:r w:rsidRPr="00AA3E3F">
        <w:rPr>
          <w:rFonts w:ascii="Geometr706 Md TL" w:hAnsi="Geometr706 Md TL"/>
          <w:i/>
          <w:sz w:val="20"/>
          <w:szCs w:val="20"/>
        </w:rPr>
        <w:t>LED</w:t>
      </w:r>
      <w:r w:rsidRPr="00AA3E3F">
        <w:rPr>
          <w:rFonts w:ascii="Geometr706 Md TL" w:hAnsi="Geometr706 Md TL"/>
          <w:sz w:val="20"/>
          <w:szCs w:val="20"/>
        </w:rPr>
        <w:t xml:space="preserve"> un </w:t>
      </w:r>
      <w:r w:rsidRPr="00AA3E3F">
        <w:rPr>
          <w:rFonts w:ascii="Geometr706 Md TL" w:hAnsi="Geometr706 Md TL"/>
          <w:i/>
          <w:sz w:val="20"/>
          <w:szCs w:val="20"/>
        </w:rPr>
        <w:t>CFL</w:t>
      </w:r>
      <w:r w:rsidRPr="00AA3E3F">
        <w:rPr>
          <w:rFonts w:ascii="Geometr706 Md TL" w:hAnsi="Geometr706 Md TL"/>
          <w:sz w:val="20"/>
          <w:szCs w:val="20"/>
        </w:rPr>
        <w:t xml:space="preserve"> spuldzēm.</w:t>
      </w:r>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 xml:space="preserve">No 43 modeļiem, kas tika izņemti testēšanai uz robežas, 28 modeļiem tika konstatētas neatbilstības būtiskajām prasībām.  Preču paraugu izņemšana uz robežas tiek veikta tikai tad, ja preces ir nodrošinātas ar atbilstību apliecinošiem dokumentiem. Tādejādi ir apšaubāms attiecīgo atbilstību apliecinošu dokumentu patiesums, </w:t>
      </w:r>
      <w:proofErr w:type="spellStart"/>
      <w:r w:rsidRPr="00AA3E3F">
        <w:rPr>
          <w:rFonts w:ascii="Geometr706 Md TL" w:hAnsi="Geometr706 Md TL"/>
          <w:sz w:val="20"/>
          <w:szCs w:val="20"/>
        </w:rPr>
        <w:t>nemot</w:t>
      </w:r>
      <w:proofErr w:type="spellEnd"/>
      <w:r w:rsidRPr="00AA3E3F">
        <w:rPr>
          <w:rFonts w:ascii="Geometr706 Md TL" w:hAnsi="Geometr706 Md TL"/>
          <w:sz w:val="20"/>
          <w:szCs w:val="20"/>
        </w:rPr>
        <w:t xml:space="preserve"> vērā, ka preces</w:t>
      </w:r>
      <w:r w:rsidR="00AA3E3F">
        <w:rPr>
          <w:rFonts w:ascii="Geometr706 Md TL" w:hAnsi="Geometr706 Md TL"/>
          <w:sz w:val="20"/>
          <w:szCs w:val="20"/>
        </w:rPr>
        <w:t xml:space="preserve"> neatbilst būtiskajām prasībām.</w:t>
      </w:r>
    </w:p>
    <w:p w:rsidR="00256E7F" w:rsidRPr="00AA3E3F" w:rsidRDefault="00256E7F" w:rsidP="00AA3E3F">
      <w:pPr>
        <w:spacing w:line="240" w:lineRule="auto"/>
        <w:jc w:val="both"/>
        <w:rPr>
          <w:rFonts w:ascii="Geometr706 Md TL" w:hAnsi="Geometr706 Md TL"/>
          <w:b/>
          <w:sz w:val="20"/>
          <w:szCs w:val="20"/>
        </w:rPr>
      </w:pPr>
      <w:r w:rsidRPr="00AA3E3F">
        <w:rPr>
          <w:rFonts w:ascii="Geometr706 Md TL" w:hAnsi="Geometr706 Md TL"/>
          <w:b/>
          <w:sz w:val="20"/>
          <w:szCs w:val="20"/>
        </w:rPr>
        <w:t>3) Vispārē</w:t>
      </w:r>
      <w:r w:rsidR="00AA3E3F">
        <w:rPr>
          <w:rFonts w:ascii="Geometr706 Md TL" w:hAnsi="Geometr706 Md TL"/>
          <w:b/>
          <w:sz w:val="20"/>
          <w:szCs w:val="20"/>
        </w:rPr>
        <w:t>jā pakalpojumu drošuma projekts</w:t>
      </w:r>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Uzraudzības projekts aptver trīs Latvijā populārus un plaši izmantotus pakalpojumus: slēpošanas trases, spēļu laukumi un piepūšamo atrakciju pakalpojumu sniegšanas vietas.</w:t>
      </w:r>
    </w:p>
    <w:p w:rsidR="00256E7F" w:rsidRPr="00AA3E3F" w:rsidRDefault="00256E7F" w:rsidP="00AA3E3F">
      <w:pPr>
        <w:spacing w:line="240" w:lineRule="auto"/>
        <w:jc w:val="both"/>
        <w:rPr>
          <w:rFonts w:ascii="Geometr706 Md TL" w:hAnsi="Geometr706 Md TL"/>
          <w:i/>
          <w:sz w:val="20"/>
          <w:szCs w:val="20"/>
          <w:u w:val="single"/>
        </w:rPr>
      </w:pPr>
      <w:r w:rsidRPr="00AA3E3F">
        <w:rPr>
          <w:rFonts w:ascii="Geometr706 Md TL" w:hAnsi="Geometr706 Md TL"/>
          <w:i/>
          <w:sz w:val="20"/>
          <w:szCs w:val="20"/>
          <w:u w:val="single"/>
        </w:rPr>
        <w:t xml:space="preserve">Slēpošanas trašu drošuma uzraudzības </w:t>
      </w:r>
      <w:proofErr w:type="spellStart"/>
      <w:r w:rsidRPr="00AA3E3F">
        <w:rPr>
          <w:rFonts w:ascii="Geometr706 Md TL" w:hAnsi="Geometr706 Md TL"/>
          <w:i/>
          <w:sz w:val="20"/>
          <w:szCs w:val="20"/>
          <w:u w:val="single"/>
        </w:rPr>
        <w:t>apakšprojekts</w:t>
      </w:r>
      <w:proofErr w:type="spellEnd"/>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2013. gada 25. janvārī PTAC organizēja semināru, kurā slēpošanas trašu pārstāvjus iepazīstināja ar izstrādātajām vadlīnijām slēpošanas trašu drošumam. S</w:t>
      </w:r>
      <w:r w:rsidRPr="00AA3E3F">
        <w:rPr>
          <w:rFonts w:ascii="Geometr706 Md TL" w:hAnsi="Geometr706 Md TL"/>
          <w:iCs/>
          <w:sz w:val="20"/>
          <w:szCs w:val="20"/>
        </w:rPr>
        <w:t>eminārā piedalījās 16 slēpošanas trašu pārstāvju.</w:t>
      </w:r>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15 slēpošanas trasēs PTAC veica slēpošanas trašu drošumu pārbaudi saskaņā ar izstrādātajām vadlīnijām, izvērtējot:</w:t>
      </w:r>
    </w:p>
    <w:p w:rsidR="00256E7F" w:rsidRPr="00AA3E3F" w:rsidRDefault="00256E7F" w:rsidP="00AA3E3F">
      <w:pPr>
        <w:numPr>
          <w:ilvl w:val="0"/>
          <w:numId w:val="12"/>
        </w:numPr>
        <w:spacing w:after="0" w:line="240" w:lineRule="auto"/>
        <w:jc w:val="both"/>
        <w:rPr>
          <w:rFonts w:ascii="Geometr706 Md TL" w:hAnsi="Geometr706 Md TL"/>
          <w:sz w:val="20"/>
          <w:szCs w:val="20"/>
        </w:rPr>
      </w:pPr>
      <w:r w:rsidRPr="00AA3E3F">
        <w:rPr>
          <w:rFonts w:ascii="Geometr706 Md TL" w:hAnsi="Geometr706 Md TL"/>
          <w:sz w:val="20"/>
          <w:szCs w:val="20"/>
        </w:rPr>
        <w:t>patērētājiem sniegto informāciju par trasi, piedāvātajiem pakalpojumiem un trases lietošanas noteikumiem;</w:t>
      </w:r>
    </w:p>
    <w:p w:rsidR="00256E7F" w:rsidRPr="00AA3E3F" w:rsidRDefault="00256E7F" w:rsidP="00AA3E3F">
      <w:pPr>
        <w:numPr>
          <w:ilvl w:val="0"/>
          <w:numId w:val="12"/>
        </w:numPr>
        <w:spacing w:after="0" w:line="240" w:lineRule="auto"/>
        <w:jc w:val="both"/>
        <w:rPr>
          <w:rFonts w:ascii="Geometr706 Md TL" w:hAnsi="Geometr706 Md TL"/>
          <w:sz w:val="20"/>
          <w:szCs w:val="20"/>
        </w:rPr>
      </w:pPr>
      <w:r w:rsidRPr="00AA3E3F">
        <w:rPr>
          <w:rFonts w:ascii="Geometr706 Md TL" w:hAnsi="Geometr706 Md TL"/>
          <w:sz w:val="20"/>
          <w:szCs w:val="20"/>
        </w:rPr>
        <w:t>drošības dokumenta esamību un tajā iekļauto informāciju;</w:t>
      </w:r>
    </w:p>
    <w:p w:rsidR="00256E7F" w:rsidRPr="00AA3E3F" w:rsidRDefault="00256E7F" w:rsidP="00AA3E3F">
      <w:pPr>
        <w:numPr>
          <w:ilvl w:val="0"/>
          <w:numId w:val="12"/>
        </w:numPr>
        <w:spacing w:after="0" w:line="240" w:lineRule="auto"/>
        <w:jc w:val="both"/>
        <w:rPr>
          <w:rFonts w:ascii="Geometr706 Md TL" w:hAnsi="Geometr706 Md TL"/>
          <w:sz w:val="20"/>
          <w:szCs w:val="20"/>
        </w:rPr>
      </w:pPr>
      <w:r w:rsidRPr="00AA3E3F">
        <w:rPr>
          <w:rFonts w:ascii="Geometr706 Md TL" w:hAnsi="Geometr706 Md TL"/>
          <w:sz w:val="20"/>
          <w:szCs w:val="20"/>
        </w:rPr>
        <w:lastRenderedPageBreak/>
        <w:t>nomas aprīkojuma piemērojamību sniegtajiem pakalpojumiem, kā arī to stāvokli (defektus);</w:t>
      </w:r>
    </w:p>
    <w:p w:rsidR="00256E7F" w:rsidRPr="00AA3E3F" w:rsidRDefault="00256E7F" w:rsidP="00AA3E3F">
      <w:pPr>
        <w:numPr>
          <w:ilvl w:val="0"/>
          <w:numId w:val="12"/>
        </w:numPr>
        <w:spacing w:after="0" w:line="240" w:lineRule="auto"/>
        <w:jc w:val="both"/>
        <w:rPr>
          <w:rFonts w:ascii="Geometr706 Md TL" w:hAnsi="Geometr706 Md TL"/>
          <w:sz w:val="20"/>
          <w:szCs w:val="20"/>
        </w:rPr>
      </w:pPr>
      <w:r w:rsidRPr="00AA3E3F">
        <w:rPr>
          <w:rFonts w:ascii="Geometr706 Md TL" w:hAnsi="Geometr706 Md TL"/>
          <w:sz w:val="20"/>
          <w:szCs w:val="20"/>
        </w:rPr>
        <w:t>slēpošanas trašu faktisko situāciju, tostarp izvietotās brīdinājuma zīmes un drošības aprīkojumu.</w:t>
      </w:r>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Visās pārbaudes vietās (15 slēpošanas trasēs) bija pieejama informācija patērētājiem par trases lietošanas noteikumiem, t. sk. 5 slēpošanas trasēs izvietota informācija arī svešvalodās, 10 trasēs slēpošanas trases lietošanas noteikumi izvietoti vizuāli vieglāk uztveramā veidā – ar atraktīviem zīmējumiem, 3 slēpošanas trasēs ir informācija par trašu sarežģītības pakāpēm.</w:t>
      </w:r>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8 trasēs bija izstrādāti drošības dokumenti, kuros iekļauta informācija par trases drošību, atbildīgajām personām, slēpošanas trašu riska izvērtēšanu un drošības plānošanu, par veicamajiem pasākumiem, lai novērstu negadījumus trasēs, rīcības plānu pēc negadījuma (pirmās palīdzības sniegšana) u. c. gadījumos.</w:t>
      </w:r>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Jāatzīmē, ka visās slēpošanas trasēs ir pieejams pirmās palīdzības sniegšanai nepieciešamais aprīkojums, atsevišķās trasēs brīvdienās dežurē arī medicīnas darbinieks. Slēpošanas trašu darbiniekiem ir atšķirīgs zināšanu un prasmju līmenis pirmās palīdzības sniegšanā, ne visās slēpošanas trasēs ir pieejams darbinieks, kurš ir izgājis apmācību saskaņā ar MK noteikumiem Nr. 557 „Noteikumi par apmācību pirmās palīdzības sniegšanā”.</w:t>
      </w:r>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Pārbaužu laikā netika konstatētas slēpošanas un snovborda inventāra neatbilstības.</w:t>
      </w:r>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Izvērtējot pārbaužu laikā iegūtos rezultātus un apkopojot tos, tika izstrādātas un nosūtītas rekomendācijas vēstules pārbaudīto slēpošanas trašu apsaimniekotājiem.</w:t>
      </w:r>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2013. gada 11. septembrī tika organizēts seminārs nozares pārstāvjiem, lai pārrunātu pārbaužu rezultātus un skaidrotu vadlīniju piemērošanu. Seminārā tika pieaicināti Neatliekamās medicīniskās palīdzības dienesta un Tehnisko ekspertu asociācijas pārstāvji, kuri informēja par pirmās palīdzības sniegšanas metodiku slēpošanas trasēs un bīstamo iekārtu pārbaužu veikšanas kārtību. Slēpošanas trašu apsaimniekotājiem PTAC piedāvāja arī riska izvērtēšanas modeli, lai atvieglotu r</w:t>
      </w:r>
      <w:r w:rsidR="00AA3E3F">
        <w:rPr>
          <w:rFonts w:ascii="Geometr706 Md TL" w:hAnsi="Geometr706 Md TL"/>
          <w:sz w:val="20"/>
          <w:szCs w:val="20"/>
        </w:rPr>
        <w:t>iska vērtēšanas procesu trasēs.</w:t>
      </w:r>
    </w:p>
    <w:p w:rsidR="00256E7F" w:rsidRPr="00AA3E3F" w:rsidRDefault="00256E7F" w:rsidP="00AA3E3F">
      <w:pPr>
        <w:spacing w:line="240" w:lineRule="auto"/>
        <w:jc w:val="both"/>
        <w:rPr>
          <w:rFonts w:ascii="Geometr706 Md TL" w:hAnsi="Geometr706 Md TL"/>
          <w:i/>
          <w:sz w:val="20"/>
          <w:szCs w:val="20"/>
          <w:u w:val="single"/>
        </w:rPr>
      </w:pPr>
      <w:r w:rsidRPr="00AA3E3F">
        <w:rPr>
          <w:rFonts w:ascii="Geometr706 Md TL" w:hAnsi="Geometr706 Md TL"/>
          <w:i/>
          <w:sz w:val="20"/>
          <w:szCs w:val="20"/>
          <w:u w:val="single"/>
        </w:rPr>
        <w:t xml:space="preserve">Piepūšamo atrakciju iekārtu drošuma uzraudzības </w:t>
      </w:r>
      <w:proofErr w:type="spellStart"/>
      <w:r w:rsidRPr="00AA3E3F">
        <w:rPr>
          <w:rFonts w:ascii="Geometr706 Md TL" w:hAnsi="Geometr706 Md TL"/>
          <w:i/>
          <w:sz w:val="20"/>
          <w:szCs w:val="20"/>
          <w:u w:val="single"/>
        </w:rPr>
        <w:t>apakšprojekts</w:t>
      </w:r>
      <w:proofErr w:type="spellEnd"/>
    </w:p>
    <w:p w:rsidR="00256E7F" w:rsidRPr="00AA3E3F" w:rsidRDefault="00256E7F" w:rsidP="00AA3E3F">
      <w:pPr>
        <w:spacing w:line="240" w:lineRule="auto"/>
        <w:ind w:firstLine="720"/>
        <w:jc w:val="both"/>
        <w:rPr>
          <w:rFonts w:ascii="Geometr706 Md TL" w:hAnsi="Geometr706 Md TL"/>
          <w:sz w:val="20"/>
          <w:szCs w:val="20"/>
        </w:rPr>
      </w:pPr>
      <w:r w:rsidRPr="00AA3E3F">
        <w:rPr>
          <w:rFonts w:ascii="Geometr706 Md TL" w:hAnsi="Geometr706 Md TL"/>
          <w:sz w:val="20"/>
          <w:szCs w:val="20"/>
        </w:rPr>
        <w:t>Aizvien pieejamākas patērētājiem ir kļuvušas piepūšamās atrakcijas. Šo pakalpojumu komersanti ne tikai piedāvā noteiktās izklaides vietās – piepūšamās atrakcijas ir iespējams arī iznomāt publiskajiem vai individuālajiem pasākumiem.</w:t>
      </w:r>
    </w:p>
    <w:p w:rsidR="00256E7F" w:rsidRPr="00AA3E3F" w:rsidRDefault="00256E7F" w:rsidP="00AA3E3F">
      <w:pPr>
        <w:spacing w:line="240" w:lineRule="auto"/>
        <w:jc w:val="both"/>
        <w:rPr>
          <w:rFonts w:ascii="Geometr706 Md TL" w:hAnsi="Geometr706 Md TL"/>
          <w:sz w:val="20"/>
          <w:szCs w:val="20"/>
        </w:rPr>
      </w:pPr>
      <w:r w:rsidRPr="00AA3E3F">
        <w:rPr>
          <w:rFonts w:ascii="Geometr706 Md TL" w:hAnsi="Geometr706 Md TL"/>
          <w:sz w:val="20"/>
          <w:szCs w:val="20"/>
        </w:rPr>
        <w:tab/>
        <w:t xml:space="preserve">Piepūšamo atrakciju </w:t>
      </w:r>
      <w:proofErr w:type="spellStart"/>
      <w:r w:rsidRPr="00AA3E3F">
        <w:rPr>
          <w:rFonts w:ascii="Geometr706 Md TL" w:hAnsi="Geometr706 Md TL"/>
          <w:sz w:val="20"/>
          <w:szCs w:val="20"/>
        </w:rPr>
        <w:t>apakšprojekta</w:t>
      </w:r>
      <w:proofErr w:type="spellEnd"/>
      <w:r w:rsidRPr="00AA3E3F">
        <w:rPr>
          <w:rFonts w:ascii="Geometr706 Md TL" w:hAnsi="Geometr706 Md TL"/>
          <w:sz w:val="20"/>
          <w:szCs w:val="20"/>
        </w:rPr>
        <w:t xml:space="preserve"> ietvaros veiktas 7 pārbaudes: pārbaudītas 13 piepūšamās iekārtas, no to valdītājiem pieprasīta dokumentācija par iekārtas izcelsmi, lietošanas noteikumiem, gaisa kompresoru atbilstības sertifikāti utt. Pārbaužu laikā ir konstatēts, ka piepūšamās iekārtas nav iespējams identificēt (nav iekārtas marķējuma – informācijas par ražotāju, nav norādīts maksimālais lietotāju skaits iekārtā, to auguma parametri u. c.). Pakalpojuma sniedzēji nevar uzrādīt šo preču atbilstību apliecinošus dokumentus, lietošanas instrukcijas; iekārtas netiek nostiprinātas – tas nozīmē, ka pastāv risks, ka lielākā vējā iekārta var tikt aizpūsta; netiek noteikts maksimālais apmeklētāju skaits, kā arī netiek sekots apmeklētāju skaitam; apkārt iekārtām nav mīksto pārklājumu; gaisa kompresori, arī elektroenerģijas pieslēguma vietas, ir brīvi pieejami patērētājiem. Šajā jomā ir novērotas ļoti daudzas neatbilstības drošuma prasībām, kā arī ļoti zems pakalpojuma sniedzēju atbildības līmenis. PTAC plāno veikt atkārtotas pārbaudes nākamajā se</w:t>
      </w:r>
      <w:r w:rsidR="00AA3E3F">
        <w:rPr>
          <w:rFonts w:ascii="Geometr706 Md TL" w:hAnsi="Geometr706 Md TL"/>
          <w:sz w:val="20"/>
          <w:szCs w:val="20"/>
        </w:rPr>
        <w:t>zonā, t. i., 2014. gada vasarā.</w:t>
      </w:r>
    </w:p>
    <w:p w:rsidR="00256E7F" w:rsidRPr="000A0AA3" w:rsidRDefault="00256E7F" w:rsidP="00AA3E3F">
      <w:pPr>
        <w:spacing w:line="240" w:lineRule="auto"/>
        <w:jc w:val="both"/>
        <w:rPr>
          <w:rFonts w:ascii="Geometr706 Md TL" w:hAnsi="Geometr706 Md TL"/>
          <w:i/>
          <w:sz w:val="20"/>
          <w:szCs w:val="20"/>
          <w:u w:val="single"/>
        </w:rPr>
      </w:pPr>
      <w:r w:rsidRPr="000A0AA3">
        <w:rPr>
          <w:rFonts w:ascii="Geometr706 Md TL" w:hAnsi="Geometr706 Md TL"/>
          <w:i/>
          <w:sz w:val="20"/>
          <w:szCs w:val="20"/>
          <w:u w:val="single"/>
        </w:rPr>
        <w:lastRenderedPageBreak/>
        <w:t>Bērnu spēļu laukumi</w:t>
      </w:r>
    </w:p>
    <w:p w:rsidR="00256E7F" w:rsidRPr="000A0AA3" w:rsidRDefault="00256E7F" w:rsidP="00AA3E3F">
      <w:pPr>
        <w:spacing w:line="240" w:lineRule="auto"/>
        <w:ind w:firstLine="720"/>
        <w:jc w:val="both"/>
        <w:rPr>
          <w:rFonts w:ascii="Geometr706 Md TL" w:hAnsi="Geometr706 Md TL"/>
          <w:sz w:val="20"/>
          <w:szCs w:val="20"/>
        </w:rPr>
      </w:pPr>
      <w:r w:rsidRPr="000A0AA3">
        <w:rPr>
          <w:rFonts w:ascii="Geometr706 Md TL" w:hAnsi="Geometr706 Md TL"/>
          <w:sz w:val="20"/>
          <w:szCs w:val="20"/>
        </w:rPr>
        <w:t>Lai atvieglotu bērnu spēļu laukumu valdītāju un (vai) apsaimniekotāju darbu, nodrošinot bērnu spēļu laukumu drošumu, PTAC ir izstrādājis vadlīnijas bērnu spēļu laukumu valdītājiem (apsaimniekotājiem) par drošuma prasībām publiskas lietošanas bērnu spēļu laukumiem. Tajās ir ietverti drošuma norādījumi un standarta prasības, proti, tiesiskais pamatojums, aizsardzības principi standartos, standarta LVS EN 1176:2008 prasību kopsavilkums – marķēšanas prasības, vispārīgās un speciālās atsevišķu iekārtu drošuma prasības, ieteikumi projektēšanai, kā arī norādījumi bērnu spēļu laukumu pārbaudei un apkopei. Plašāka auditorija ar izstrādātajām vadlīnijām tika iepazīstināta mediju brokastīs 2013. gada 24. maijā. Vadlīnijas ir pieejamas PTAC mājaslapā.</w:t>
      </w:r>
    </w:p>
    <w:p w:rsidR="00256E7F" w:rsidRPr="000A0AA3" w:rsidRDefault="00256E7F" w:rsidP="00AA3E3F">
      <w:pPr>
        <w:spacing w:line="240" w:lineRule="auto"/>
        <w:ind w:firstLine="720"/>
        <w:jc w:val="both"/>
        <w:rPr>
          <w:rFonts w:ascii="Geometr706 Md TL" w:hAnsi="Geometr706 Md TL"/>
          <w:sz w:val="20"/>
          <w:szCs w:val="20"/>
        </w:rPr>
      </w:pPr>
      <w:r w:rsidRPr="000A0AA3">
        <w:rPr>
          <w:rFonts w:ascii="Geometr706 Md TL" w:hAnsi="Geometr706 Md TL"/>
          <w:sz w:val="20"/>
          <w:szCs w:val="20"/>
        </w:rPr>
        <w:t>2013. gada 19. novembrī Latvijas Pašvaldību savienības organizētajā videokonferencē pašvaldību pārstāvjiem tika sniegta prezentācija par bērnu spēļu laukumu drošumu un</w:t>
      </w:r>
      <w:r w:rsidR="00AA3E3F" w:rsidRPr="000A0AA3">
        <w:rPr>
          <w:rFonts w:ascii="Geometr706 Md TL" w:hAnsi="Geometr706 Md TL"/>
          <w:sz w:val="20"/>
          <w:szCs w:val="20"/>
        </w:rPr>
        <w:t xml:space="preserve"> PTAC izstrādātajām vadlīnijām.</w:t>
      </w:r>
    </w:p>
    <w:p w:rsidR="00256E7F" w:rsidRPr="000A0AA3" w:rsidRDefault="00256E7F" w:rsidP="00AA3E3F">
      <w:pPr>
        <w:spacing w:line="240" w:lineRule="auto"/>
        <w:jc w:val="both"/>
        <w:rPr>
          <w:rFonts w:ascii="Geometr706 Md TL" w:hAnsi="Geometr706 Md TL"/>
          <w:b/>
          <w:sz w:val="20"/>
          <w:szCs w:val="20"/>
        </w:rPr>
      </w:pPr>
      <w:r w:rsidRPr="000A0AA3">
        <w:rPr>
          <w:rFonts w:ascii="Geometr706 Md TL" w:hAnsi="Geometr706 Md TL"/>
          <w:b/>
          <w:sz w:val="20"/>
          <w:szCs w:val="20"/>
        </w:rPr>
        <w:t>4) Vispārējā pre</w:t>
      </w:r>
      <w:r w:rsidR="00AA3E3F" w:rsidRPr="000A0AA3">
        <w:rPr>
          <w:rFonts w:ascii="Geometr706 Md TL" w:hAnsi="Geometr706 Md TL"/>
          <w:b/>
          <w:sz w:val="20"/>
          <w:szCs w:val="20"/>
        </w:rPr>
        <w:t>ču drošuma uzraudzības projekts</w:t>
      </w:r>
    </w:p>
    <w:p w:rsidR="00256E7F" w:rsidRPr="000A0AA3" w:rsidRDefault="00256E7F" w:rsidP="00AA3E3F">
      <w:pPr>
        <w:spacing w:line="240" w:lineRule="auto"/>
        <w:jc w:val="both"/>
        <w:rPr>
          <w:rFonts w:ascii="Geometr706 Md TL" w:hAnsi="Geometr706 Md TL"/>
          <w:i/>
          <w:sz w:val="20"/>
          <w:szCs w:val="20"/>
          <w:u w:val="single"/>
        </w:rPr>
      </w:pPr>
      <w:r w:rsidRPr="000A0AA3">
        <w:rPr>
          <w:rFonts w:ascii="Geometr706 Md TL" w:hAnsi="Geometr706 Md TL"/>
          <w:i/>
          <w:sz w:val="20"/>
          <w:szCs w:val="20"/>
          <w:u w:val="single"/>
        </w:rPr>
        <w:t>Bērnu augstās gultas</w:t>
      </w:r>
    </w:p>
    <w:p w:rsidR="00256E7F" w:rsidRPr="000A0AA3" w:rsidRDefault="00256E7F" w:rsidP="00AA3E3F">
      <w:pPr>
        <w:spacing w:line="240" w:lineRule="auto"/>
        <w:ind w:firstLine="720"/>
        <w:jc w:val="both"/>
        <w:rPr>
          <w:rFonts w:ascii="Geometr706 Md TL" w:hAnsi="Geometr706 Md TL"/>
          <w:sz w:val="20"/>
          <w:szCs w:val="20"/>
        </w:rPr>
      </w:pPr>
      <w:proofErr w:type="spellStart"/>
      <w:r w:rsidRPr="000A0AA3">
        <w:rPr>
          <w:rFonts w:ascii="Geometr706 Md TL" w:hAnsi="Geometr706 Md TL"/>
          <w:sz w:val="20"/>
          <w:szCs w:val="20"/>
        </w:rPr>
        <w:t>Apakšprojekta</w:t>
      </w:r>
      <w:proofErr w:type="spellEnd"/>
      <w:r w:rsidRPr="000A0AA3">
        <w:rPr>
          <w:rFonts w:ascii="Geometr706 Md TL" w:hAnsi="Geometr706 Md TL"/>
          <w:sz w:val="20"/>
          <w:szCs w:val="20"/>
        </w:rPr>
        <w:t xml:space="preserve"> ietvaros kopā tika pārbaudīti 13 komersanti, kuri piedāvā vairākstāvu vai augstās gultas, pārbaudīti 19 vairākstāvu vai augsto gultu modeļi. Pārbaužu laikā konstatēta 13 no 17 pārbaudīto modeļu neatbilstība: 8 modeļiem nav informācijas par ražotāju, 6 modeļiem nav pievienoti lietošanas noteikumi, tostarp montāžas instrukcija, 2 modeļiem ir pievienoti lietošanas noteikumi svešvalodā, 4 modeļu instrukcijā nav būtiskas informācijas, kas norādīta standartā, 2 modeļiem pievienoti slīdkalniņi, kuri ir pakļauti rotaļlietu drošuma prasībām, bet tie nav marķēti ar CE atbilstības marķējumu, un tiem nav atbilstību apliecinošu dokumentu. 1 modeļa izplatīšana ir apturēta, jo tas neatbilst būtiskajām drošuma prasībām.</w:t>
      </w:r>
    </w:p>
    <w:p w:rsidR="00256E7F" w:rsidRPr="000A0AA3" w:rsidRDefault="00256E7F" w:rsidP="00AA3E3F">
      <w:pPr>
        <w:spacing w:line="240" w:lineRule="auto"/>
        <w:ind w:firstLine="720"/>
        <w:jc w:val="both"/>
        <w:rPr>
          <w:rFonts w:ascii="Geometr706 Md TL" w:hAnsi="Geometr706 Md TL"/>
          <w:sz w:val="20"/>
          <w:szCs w:val="20"/>
        </w:rPr>
      </w:pPr>
      <w:r w:rsidRPr="000A0AA3">
        <w:rPr>
          <w:rFonts w:ascii="Geometr706 Md TL" w:hAnsi="Geometr706 Md TL"/>
          <w:sz w:val="20"/>
          <w:szCs w:val="20"/>
        </w:rPr>
        <w:t>5 augsto gultu modeļi tika izņemti un nodoti ekspertīzei, lai pārbaudītu to atbilstību standartā EN 747-1 noteiktajām drošuma prasībām. 3 gultu modeļiem tika konstatētas neatbilstīb</w:t>
      </w:r>
      <w:r w:rsidR="00AA3E3F" w:rsidRPr="000A0AA3">
        <w:rPr>
          <w:rFonts w:ascii="Geometr706 Md TL" w:hAnsi="Geometr706 Md TL"/>
          <w:sz w:val="20"/>
          <w:szCs w:val="20"/>
        </w:rPr>
        <w:t>as būtiskajām drošuma prasībām.</w:t>
      </w:r>
    </w:p>
    <w:p w:rsidR="00256E7F" w:rsidRPr="000A0AA3" w:rsidRDefault="00256E7F" w:rsidP="00AA3E3F">
      <w:pPr>
        <w:spacing w:line="240" w:lineRule="auto"/>
        <w:jc w:val="both"/>
        <w:rPr>
          <w:rFonts w:ascii="Geometr706 Md TL" w:hAnsi="Geometr706 Md TL"/>
          <w:i/>
          <w:sz w:val="20"/>
          <w:szCs w:val="20"/>
          <w:u w:val="single"/>
        </w:rPr>
      </w:pPr>
      <w:r w:rsidRPr="000A0AA3">
        <w:rPr>
          <w:rFonts w:ascii="Geometr706 Md TL" w:hAnsi="Geometr706 Md TL"/>
          <w:i/>
          <w:sz w:val="20"/>
          <w:szCs w:val="20"/>
          <w:u w:val="single"/>
        </w:rPr>
        <w:t>Žalūzijas</w:t>
      </w:r>
    </w:p>
    <w:p w:rsidR="00256E7F" w:rsidRPr="000A0AA3" w:rsidRDefault="00256E7F" w:rsidP="00AA3E3F">
      <w:pPr>
        <w:spacing w:line="240" w:lineRule="auto"/>
        <w:ind w:firstLine="720"/>
        <w:jc w:val="both"/>
        <w:rPr>
          <w:rFonts w:ascii="Geometr706 Md TL" w:hAnsi="Geometr706 Md TL"/>
          <w:sz w:val="20"/>
          <w:szCs w:val="20"/>
        </w:rPr>
      </w:pPr>
      <w:r w:rsidRPr="000A0AA3">
        <w:rPr>
          <w:rFonts w:ascii="Geometr706 Md TL" w:hAnsi="Geometr706 Md TL"/>
          <w:sz w:val="20"/>
          <w:szCs w:val="20"/>
        </w:rPr>
        <w:t xml:space="preserve">Veiktas 20 informatīvās pārbaudes, lai izvērtētu tirgū piedāvāto iekšējo žalūziju (horizontālās, vertikālās un </w:t>
      </w:r>
      <w:proofErr w:type="spellStart"/>
      <w:r w:rsidRPr="000A0AA3">
        <w:rPr>
          <w:rFonts w:ascii="Geometr706 Md TL" w:hAnsi="Geometr706 Md TL"/>
          <w:sz w:val="20"/>
          <w:szCs w:val="20"/>
        </w:rPr>
        <w:t>rullo</w:t>
      </w:r>
      <w:proofErr w:type="spellEnd"/>
      <w:r w:rsidRPr="000A0AA3">
        <w:rPr>
          <w:rFonts w:ascii="Geometr706 Md TL" w:hAnsi="Geometr706 Md TL"/>
          <w:sz w:val="20"/>
          <w:szCs w:val="20"/>
        </w:rPr>
        <w:t xml:space="preserve"> žalūzijas, kuras satur </w:t>
      </w:r>
      <w:proofErr w:type="spellStart"/>
      <w:r w:rsidRPr="000A0AA3">
        <w:rPr>
          <w:rFonts w:ascii="Geometr706 Md TL" w:hAnsi="Geometr706 Md TL"/>
          <w:sz w:val="20"/>
          <w:szCs w:val="20"/>
        </w:rPr>
        <w:t>kordas</w:t>
      </w:r>
      <w:proofErr w:type="spellEnd"/>
      <w:r w:rsidRPr="000A0AA3">
        <w:rPr>
          <w:rFonts w:ascii="Geometr706 Md TL" w:hAnsi="Geometr706 Md TL"/>
          <w:sz w:val="20"/>
          <w:szCs w:val="20"/>
        </w:rPr>
        <w:t xml:space="preserve"> vai auklas) drošumu un marķējuma, informācijas par preci un lietošanas instrukciju valsts valodā esamību. Komersanti ir informēti par vispārējā drošuma prasībām, kas ir attiecināmas uz iepriekš minētajiem žalūziju veidiem.</w:t>
      </w:r>
    </w:p>
    <w:p w:rsidR="00256E7F" w:rsidRPr="000A0AA3" w:rsidRDefault="00256E7F" w:rsidP="00256E7F">
      <w:pPr>
        <w:spacing w:line="240" w:lineRule="auto"/>
        <w:rPr>
          <w:rFonts w:ascii="Geometr706 Md TL" w:hAnsi="Geometr706 Md TL"/>
          <w:i/>
          <w:sz w:val="20"/>
          <w:szCs w:val="20"/>
          <w:u w:val="single"/>
        </w:rPr>
      </w:pPr>
      <w:r w:rsidRPr="000A0AA3">
        <w:rPr>
          <w:rFonts w:ascii="Geometr706 Md TL" w:hAnsi="Geometr706 Md TL"/>
          <w:i/>
          <w:sz w:val="20"/>
          <w:szCs w:val="20"/>
          <w:u w:val="single"/>
        </w:rPr>
        <w:t>Bižutērija</w:t>
      </w:r>
    </w:p>
    <w:p w:rsidR="00256E7F" w:rsidRPr="000A0AA3" w:rsidRDefault="00256E7F" w:rsidP="000A0AA3">
      <w:pPr>
        <w:spacing w:line="240" w:lineRule="auto"/>
        <w:ind w:firstLine="720"/>
        <w:jc w:val="both"/>
        <w:rPr>
          <w:rFonts w:ascii="Geometr706 Md TL" w:hAnsi="Geometr706 Md TL"/>
          <w:bCs/>
          <w:sz w:val="20"/>
          <w:szCs w:val="20"/>
        </w:rPr>
      </w:pPr>
      <w:proofErr w:type="spellStart"/>
      <w:r w:rsidRPr="000A0AA3">
        <w:rPr>
          <w:rFonts w:ascii="Geometr706 Md TL" w:hAnsi="Geometr706 Md TL"/>
          <w:bCs/>
          <w:sz w:val="20"/>
          <w:szCs w:val="20"/>
        </w:rPr>
        <w:t>Apakšprojekts</w:t>
      </w:r>
      <w:proofErr w:type="spellEnd"/>
      <w:r w:rsidRPr="000A0AA3">
        <w:rPr>
          <w:rFonts w:ascii="Geometr706 Md TL" w:hAnsi="Geometr706 Md TL"/>
          <w:bCs/>
          <w:sz w:val="20"/>
          <w:szCs w:val="20"/>
        </w:rPr>
        <w:t xml:space="preserve"> tika uzsākts jūnijā, un pārskata periodā tika izņemti 2 preču paraugi, kuri nodoti ekspertīzei. Rotaslietu paraugi tika izņemti testēšanai, nosakot atbilstību </w:t>
      </w:r>
      <w:r w:rsidRPr="000A0AA3">
        <w:rPr>
          <w:rFonts w:ascii="Geometr706 Md TL" w:hAnsi="Geometr706 Md TL"/>
          <w:bCs/>
          <w:i/>
          <w:sz w:val="20"/>
          <w:szCs w:val="20"/>
        </w:rPr>
        <w:t>REACH</w:t>
      </w:r>
      <w:r w:rsidRPr="000A0AA3">
        <w:rPr>
          <w:rFonts w:ascii="Geometr706 Md TL" w:hAnsi="Geometr706 Md TL"/>
          <w:bCs/>
          <w:sz w:val="20"/>
          <w:szCs w:val="20"/>
        </w:rPr>
        <w:t xml:space="preserve"> regulā noteiktajām prasībām, t. i., nosakot, vai tajās nav aizliegtu ķīmisku vielu un vai ķīmisko vielu koncentrācija nepārsniedz noteiktās robežvērtības. Ievērojot </w:t>
      </w:r>
      <w:r w:rsidRPr="000A0AA3">
        <w:rPr>
          <w:rFonts w:ascii="Geometr706 Md TL" w:hAnsi="Geometr706 Md TL"/>
          <w:bCs/>
          <w:i/>
          <w:sz w:val="20"/>
          <w:szCs w:val="20"/>
        </w:rPr>
        <w:t>RAPEX</w:t>
      </w:r>
      <w:r w:rsidRPr="000A0AA3">
        <w:rPr>
          <w:rFonts w:ascii="Geometr706 Md TL" w:hAnsi="Geometr706 Md TL"/>
          <w:bCs/>
          <w:sz w:val="20"/>
          <w:szCs w:val="20"/>
        </w:rPr>
        <w:t xml:space="preserve"> ievietotos paziņojumus, kuros ziņots par rotaslietām, kas satur kadmiju un niķeli, paraugam tika izvēlēti 4 auskaru pāri, 1 gredzens un 1 rokassprādze. Nodotajos ekspertīžu paraugos pārkāpumi netika atklāti.</w:t>
      </w:r>
    </w:p>
    <w:p w:rsidR="00256E7F" w:rsidRPr="000A0AA3" w:rsidRDefault="00256E7F" w:rsidP="000A0AA3">
      <w:pPr>
        <w:spacing w:line="240" w:lineRule="auto"/>
        <w:jc w:val="both"/>
        <w:rPr>
          <w:rFonts w:ascii="Geometr706 Md TL" w:hAnsi="Geometr706 Md TL"/>
          <w:i/>
          <w:sz w:val="20"/>
          <w:szCs w:val="20"/>
          <w:u w:val="single"/>
        </w:rPr>
      </w:pPr>
      <w:r w:rsidRPr="000A0AA3">
        <w:rPr>
          <w:rFonts w:ascii="Geometr706 Md TL" w:hAnsi="Geometr706 Md TL"/>
          <w:i/>
          <w:sz w:val="20"/>
          <w:szCs w:val="20"/>
          <w:u w:val="single"/>
        </w:rPr>
        <w:t>Gaisa laternas</w:t>
      </w:r>
    </w:p>
    <w:p w:rsidR="00256E7F" w:rsidRPr="000A0AA3" w:rsidRDefault="00256E7F" w:rsidP="000A0AA3">
      <w:pPr>
        <w:spacing w:line="240" w:lineRule="auto"/>
        <w:jc w:val="both"/>
        <w:rPr>
          <w:rFonts w:ascii="Geometr706 Md TL" w:hAnsi="Geometr706 Md TL"/>
          <w:bCs/>
          <w:sz w:val="20"/>
          <w:szCs w:val="20"/>
        </w:rPr>
      </w:pPr>
      <w:r w:rsidRPr="000A0AA3">
        <w:rPr>
          <w:rFonts w:ascii="Geometr706 Md TL" w:hAnsi="Geometr706 Md TL"/>
          <w:sz w:val="20"/>
          <w:szCs w:val="20"/>
        </w:rPr>
        <w:tab/>
        <w:t xml:space="preserve">Pārskata periodā tika turpināta 2012. gadā uzsāktā gaisa laternu </w:t>
      </w:r>
      <w:proofErr w:type="spellStart"/>
      <w:r w:rsidRPr="000A0AA3">
        <w:rPr>
          <w:rFonts w:ascii="Geometr706 Md TL" w:hAnsi="Geometr706 Md TL"/>
          <w:sz w:val="20"/>
          <w:szCs w:val="20"/>
        </w:rPr>
        <w:t>apakšprojekta</w:t>
      </w:r>
      <w:proofErr w:type="spellEnd"/>
      <w:r w:rsidRPr="000A0AA3">
        <w:rPr>
          <w:rFonts w:ascii="Geometr706 Md TL" w:hAnsi="Geometr706 Md TL"/>
          <w:sz w:val="20"/>
          <w:szCs w:val="20"/>
        </w:rPr>
        <w:t xml:space="preserve"> realizēšana.</w:t>
      </w:r>
    </w:p>
    <w:p w:rsidR="00256E7F" w:rsidRPr="000A0AA3" w:rsidRDefault="00256E7F" w:rsidP="000A0AA3">
      <w:pPr>
        <w:spacing w:line="240" w:lineRule="auto"/>
        <w:jc w:val="both"/>
        <w:rPr>
          <w:rFonts w:ascii="Geometr706 Md TL" w:hAnsi="Geometr706 Md TL"/>
          <w:sz w:val="20"/>
          <w:szCs w:val="20"/>
        </w:rPr>
      </w:pPr>
      <w:r w:rsidRPr="000A0AA3">
        <w:rPr>
          <w:rFonts w:ascii="Geometr706 Md TL" w:hAnsi="Geometr706 Md TL"/>
          <w:bCs/>
          <w:sz w:val="20"/>
          <w:szCs w:val="20"/>
        </w:rPr>
        <w:lastRenderedPageBreak/>
        <w:tab/>
        <w:t>Lai</w:t>
      </w:r>
      <w:r w:rsidRPr="000A0AA3">
        <w:rPr>
          <w:rFonts w:ascii="Geometr706 Md TL" w:hAnsi="Geometr706 Md TL"/>
          <w:sz w:val="20"/>
          <w:szCs w:val="20"/>
        </w:rPr>
        <w:t xml:space="preserve"> vispusīgāk izvērtētu, vai gaisa laternas var radīt apdraudējumu (ugunsbīstamību) patērētāju dzīvībai, veselībai, mantai un videi, PTAC sadarbībā ar VUGD veica gaisa laternu radītā riska </w:t>
      </w:r>
      <w:proofErr w:type="spellStart"/>
      <w:r w:rsidRPr="000A0AA3">
        <w:rPr>
          <w:rFonts w:ascii="Geometr706 Md TL" w:hAnsi="Geometr706 Md TL"/>
          <w:sz w:val="20"/>
          <w:szCs w:val="20"/>
        </w:rPr>
        <w:t>galavērtējumu</w:t>
      </w:r>
      <w:proofErr w:type="spellEnd"/>
      <w:r w:rsidRPr="000A0AA3">
        <w:rPr>
          <w:rFonts w:ascii="Geometr706 Md TL" w:hAnsi="Geometr706 Md TL"/>
          <w:sz w:val="20"/>
          <w:szCs w:val="20"/>
        </w:rPr>
        <w:t xml:space="preserve"> un vienojās par nepieciešamo rīcību šīs jomas sakārtošanā. 2013. gada 24. aprīlī sanāksmes laikā tika pieņemts lēmums, ka kopējais gaisa laternu riska līmenis ir nopietns, līdz ar to gaisa laternas būtu uzskatāmas par nedrošām. PTAC ierosināja  EM izstrādāt tiesību normas, aizliedzot gaismas laternu lietošanu.</w:t>
      </w:r>
    </w:p>
    <w:p w:rsidR="00256E7F" w:rsidRPr="000A0AA3" w:rsidRDefault="00256E7F" w:rsidP="000A0AA3">
      <w:pPr>
        <w:spacing w:line="240" w:lineRule="auto"/>
        <w:jc w:val="both"/>
        <w:rPr>
          <w:rFonts w:ascii="Geometr706 Md TL" w:hAnsi="Geometr706 Md TL"/>
          <w:b/>
          <w:sz w:val="20"/>
          <w:szCs w:val="20"/>
        </w:rPr>
      </w:pPr>
      <w:r w:rsidRPr="000A0AA3">
        <w:rPr>
          <w:rFonts w:ascii="Geometr706 Md TL" w:hAnsi="Geometr706 Md TL"/>
          <w:b/>
          <w:sz w:val="20"/>
          <w:szCs w:val="20"/>
        </w:rPr>
        <w:t>5) Rotaļlietu drošuma un atbilstības uzlabošanas projekts</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 xml:space="preserve">Projekta ietvaros veiktas 52 pārbaudes (t. sk. 19 mājas apstākļiem paredzēto aktivitāšu rotaļlietu un 7 mājas apstākļiem paredzēto batutu pārbaude), tostarp 1 gadījumā, reaģējot uz </w:t>
      </w:r>
      <w:r w:rsidRPr="000A0AA3">
        <w:rPr>
          <w:rFonts w:ascii="Geometr706 Md TL" w:hAnsi="Geometr706 Md TL"/>
          <w:i/>
          <w:sz w:val="20"/>
          <w:szCs w:val="20"/>
        </w:rPr>
        <w:t>RAPEX</w:t>
      </w:r>
      <w:r w:rsidRPr="000A0AA3">
        <w:rPr>
          <w:rFonts w:ascii="Geometr706 Md TL" w:hAnsi="Geometr706 Md TL"/>
          <w:sz w:val="20"/>
          <w:szCs w:val="20"/>
        </w:rPr>
        <w:t xml:space="preserve"> ievietoto ziņojumu, un 1 gadījumā, pamatojoties uz saņemto patērētāja sūdzību. Viena no pārbaudēm veikta sakarā ar PTAC sniegto negatīvo atzinumu par VID Muitas pārvaldes muitas iestādes pieprasījuma importa pārbaudi, jo nebija iesniegta rotaļlietu atbilstību apliecinoša dokumentācija, konstatējot, ka šīs rotaļlietas tiek piedāvātas tirgū komersanta interneta veikalā.</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Pārbaudīta 261 rotaļlietu modeļa (t. sk. 24 aktivitāšu rotaļlietu modeļi un 13 mājas apstākļiem paredzēto batutu modeļi) marķējuma, brīdinājumu un lietošanas pamācības valsts valodā atbilstība MK 2011. gada 15. februāra noteikumu Nr. 132 „Rotaļlietu drošuma noteikumi” prasībām, kā arī atbilstību apliecinošie dokumenti. 13 pārbaudēs pārkāpumi netika konstatēti, savukārt 39 (75 %) pārbaudēs 133 (51 % no pārbaudītā 261) rotaļlietu modeļiem (t. sk. 21 aktivitāšu rotaļlietu modelis un 9 mājas apstākļiem paredzēto batutu modeļi) tika konstatētas šādas neatbilstības:</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a) nav CE atbilstības marķējuma – 28 modeļiem (t. sk. 5 aktivitāšu rotaļlietu modeļiem un 9 mājas apstākļiem paredzēto batutu modeļiem);</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b) nav norādīts ražotāja un (vai) importētāja vārds, nosaukums (firma) vai reģistrētā preču zīme un ražotāja un (vai) importētāja adrese (vai tā norādīta daļēji) – 45 modeļiem;</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c) nav norādīts tipa, partijas vai sērijas, vai modeļa numurs vai cits identifikācijas elements – 1 modelim;</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d) nav speciālo brīdinājumu valsts valodā – 22 modeļiem;</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e) nav lietošanas instrukcijas valsts valodā – 7 modeļiem;</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f) marķējums un (vai) brīdinājumi, un (vai) lietošanas instrukcijas ir nepilnīgas – 14 modeļiem;</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g) nav nodrošināts marķējums un (vai) brīdinājumi, un (vai) lietošanas instrukcija – 15 modeļiem;</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 xml:space="preserve">h) patērētājiem tiek piedāvāta </w:t>
      </w:r>
      <w:r w:rsidRPr="000A0AA3">
        <w:rPr>
          <w:rFonts w:ascii="Geometr706 Md TL" w:hAnsi="Geometr706 Md TL"/>
          <w:i/>
          <w:sz w:val="20"/>
          <w:szCs w:val="20"/>
        </w:rPr>
        <w:t>RAPEX</w:t>
      </w:r>
      <w:r w:rsidRPr="000A0AA3">
        <w:rPr>
          <w:rFonts w:ascii="Geometr706 Md TL" w:hAnsi="Geometr706 Md TL"/>
          <w:sz w:val="20"/>
          <w:szCs w:val="20"/>
        </w:rPr>
        <w:t xml:space="preserve"> ziņojumos esošā prece – 4 modeļi.</w:t>
      </w:r>
    </w:p>
    <w:p w:rsidR="00256E7F" w:rsidRPr="000A0AA3" w:rsidRDefault="00256E7F" w:rsidP="000A0AA3">
      <w:pPr>
        <w:spacing w:line="240" w:lineRule="auto"/>
        <w:jc w:val="both"/>
        <w:rPr>
          <w:rFonts w:ascii="Geometr706 Md TL" w:hAnsi="Geometr706 Md TL"/>
          <w:sz w:val="20"/>
          <w:szCs w:val="20"/>
        </w:rPr>
      </w:pPr>
      <w:r w:rsidRPr="000A0AA3">
        <w:rPr>
          <w:rFonts w:ascii="Geometr706 Md TL" w:hAnsi="Geometr706 Md TL"/>
          <w:sz w:val="20"/>
          <w:szCs w:val="20"/>
        </w:rPr>
        <w:tab/>
        <w:t xml:space="preserve">12 gadījumos apturēta rotaļlietu realizācija (51 modelis, 2503 vienības): 18 modeļi (63 vienības) – nav CE atbilstības marķējuma, 7 modeļi (10 vienību) – nav nodrošināta informācija par ražotāju, 22 modeļi (2307 vienības) – nav atbilstības apliecinājumu, 4 modeļi (123 vienības) – nedrošas rotaļlietas, kuras ir </w:t>
      </w:r>
      <w:r w:rsidRPr="000A0AA3">
        <w:rPr>
          <w:rFonts w:ascii="Geometr706 Md TL" w:hAnsi="Geometr706 Md TL"/>
          <w:i/>
          <w:sz w:val="20"/>
          <w:szCs w:val="20"/>
        </w:rPr>
        <w:t>RAPEX</w:t>
      </w:r>
      <w:r w:rsidRPr="000A0AA3">
        <w:rPr>
          <w:rFonts w:ascii="Geometr706 Md TL" w:hAnsi="Geometr706 Md TL"/>
          <w:sz w:val="20"/>
          <w:szCs w:val="20"/>
        </w:rPr>
        <w:t>, turklāt no tiem 2 modeļus (5 vienības) PTAC ar lēmumu aizliedza realizēt jau 2012. gadā.</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 xml:space="preserve">2013. gada rotaļlietu tirgus uzraudzības projekta ietvaros PTAC pārbaudīja iepriekš nepārbaudītu rotaļlietu veidu – mājas apstākļiem paredzētas aktivitāšu rotaļlietas, lai pārliecinātos, ka ir veikta attiecīga atbilstības novērtēšanas procedūra un rotaļlietas ir marķētas ar CE atbilstības marķējumu. Projekta ietvaros pārbaudīti 6 </w:t>
      </w:r>
      <w:r w:rsidRPr="000A0AA3">
        <w:rPr>
          <w:rFonts w:ascii="Geometr706 Md TL" w:hAnsi="Geometr706 Md TL"/>
          <w:sz w:val="20"/>
          <w:szCs w:val="20"/>
        </w:rPr>
        <w:lastRenderedPageBreak/>
        <w:t>aktivitāšu rotaļlietu ražotāji, 1 importētājs un 12 izplatītāju, pavisam pārbaudot 24 aktivitāšu rotaļlietu modeļus. 21 modelim konstatētas šādas neatbilstības:</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a) neatbilst drošuma prasībām (galvas (ķermeņa) iespīlēšanās risks un (vai) matu un apģērba iespīlēšanās risks) – 3 modeļiem;</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b) nav CE atbilstības marķējuma – 5 modeļiem;</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c) nav norādīts ražotāja nosaukums (firma) vai reģistrētā preču zīme un ražotāja adrese – 1 modelim;</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d) nav speciālo brīdinājumu valsts valodā – 7 modeļiem;</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e) nav lietošanas instrukcijas valsts valodā – 3 modeļiem;</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f) nav nodrošināta lietošanas instrukcija – 2 modeļiem;</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g) marķējums un (vai) brīdinājumi, un (vai) lietošanas instrukcijas ir nepilnīgas – 9 modeļiem.</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7 gadījumos (ražotājiem un importētājam) ir pieprasītas EK atbilstības deklarācijas; 4 gadījumos ir konstatēts, ka ražotājs nav sagatavojis EK atbilstības deklarāciju; 1 gadījumā ražotājs EK atbilstības deklarācijā ir norādījis standartu, kas piemērojams bērnu spēļu laukumu publiskas lietošanas iekārtām. Pēc importētāja iesniegtās EK atbilstības deklarācijas ziņām, ražotājs aktivitāšu rotaļlietas ražošanā piemērojamos standartus izmantojis daļēji (nav piemērojis standartu, kurā noteiktas prasības aktivitāšu rotaļlietām), līdz ar to papildus pieprasīti testēšanas pārskati vai EK tipa pārbaudes sertifikāts, ko importētājs nespēja nodrošināt.</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Tā kā 2012. gadā PTAC uzsāka pārbaudīt mājas apstākļiem paredzētos batutus, projekta ietvaros tika veiktas 5 atkārtotas pārbaudes un 2 objektos pirmreizējas pārbaudes, pavisam pārbaudot 13 batutu modeļus. 5 gadījumos ir konstatēts, ka 9 batutu modeļiem nav CE atbilstības marķējuma. Visās pārbaudēs ir pieprasīti arī pārbaudīto batutu EK tipa pārbaudes sertifikāti, ko komersanti spēja nodrošināt tikai 2 gadījumos.</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 xml:space="preserve">Projekta ietvaros PTAC izņēma 41 rotaļlietu paraugu (t. sk. 3, pamatojoties uz saņemtajām patērētāju sūdzībām, un 6 uz robežas, importētājam piesakot muitas procedūru – laišana brīvā apgrozībā) fizikālo, mehānisko un elektrisko īpašību pārbaudei, </w:t>
      </w:r>
      <w:proofErr w:type="spellStart"/>
      <w:r w:rsidRPr="000A0AA3">
        <w:rPr>
          <w:rFonts w:ascii="Geometr706 Md TL" w:hAnsi="Geometr706 Md TL"/>
          <w:sz w:val="20"/>
          <w:szCs w:val="20"/>
        </w:rPr>
        <w:t>ftalātu</w:t>
      </w:r>
      <w:proofErr w:type="spellEnd"/>
      <w:r w:rsidRPr="000A0AA3">
        <w:rPr>
          <w:rFonts w:ascii="Geometr706 Md TL" w:hAnsi="Geometr706 Md TL"/>
          <w:sz w:val="20"/>
          <w:szCs w:val="20"/>
        </w:rPr>
        <w:t xml:space="preserve"> satura, noteiktu elementu migrācijas, kā arī organisko ķīmisko savienojumu klātbūtnes noteikšanai. 31 rotaļlietu paraugam neatbilstības netika konstatētas (t. sk. tiem rotaļlietu paraugiem, par kuriem bija saņemtas patērētāju sūdzības), 6 atzīti par neatbilstošiem. 5 no 16 rotaļlietu paraugiem (rotaļlietas lietošanai ūdenī, vannas rotaļlietas, veidošanas masa un lelles), kuros tika testēts </w:t>
      </w:r>
      <w:proofErr w:type="spellStart"/>
      <w:r w:rsidRPr="000A0AA3">
        <w:rPr>
          <w:rFonts w:ascii="Geometr706 Md TL" w:hAnsi="Geometr706 Md TL"/>
          <w:sz w:val="20"/>
          <w:szCs w:val="20"/>
        </w:rPr>
        <w:t>ftalātu</w:t>
      </w:r>
      <w:proofErr w:type="spellEnd"/>
      <w:r w:rsidRPr="000A0AA3">
        <w:rPr>
          <w:rFonts w:ascii="Geometr706 Md TL" w:hAnsi="Geometr706 Md TL"/>
          <w:sz w:val="20"/>
          <w:szCs w:val="20"/>
        </w:rPr>
        <w:t xml:space="preserve"> saturs, tika konstatēts, ka </w:t>
      </w:r>
      <w:proofErr w:type="spellStart"/>
      <w:r w:rsidRPr="000A0AA3">
        <w:rPr>
          <w:rFonts w:ascii="Geometr706 Md TL" w:hAnsi="Geometr706 Md TL"/>
          <w:sz w:val="20"/>
          <w:szCs w:val="20"/>
        </w:rPr>
        <w:t>ftalātu</w:t>
      </w:r>
      <w:proofErr w:type="spellEnd"/>
      <w:r w:rsidRPr="000A0AA3">
        <w:rPr>
          <w:rFonts w:ascii="Geometr706 Md TL" w:hAnsi="Geometr706 Md TL"/>
          <w:sz w:val="20"/>
          <w:szCs w:val="20"/>
        </w:rPr>
        <w:t xml:space="preserve"> (DINP, DNOP, DIDP) saturs pārsniedz normatīvajos aktos noteiktās robežvērtības, tādējādi šīs rotaļlietas var radīt ķīmiskās saindēšanās risku, savukārt 2 no pārbaudītajiem 9 rotaļlietu paraugiem neatbilst fizikālo un mehānisko īpašību prasībām, tādējādi tās var radīt aizrīšanās un (vai) nosmakšanas risku (satur detaļas (metāla gredzenu ar savienotājelementu, mazas bumbiņas), kuras atdalāmas no rotaļlietas). 8 rotaļlietu paraugiem, pārbaudot to atbilstību ķīmisko īpašību prasībām (noteiktu elementu migrācija, primārie aromātiskie </w:t>
      </w:r>
      <w:proofErr w:type="spellStart"/>
      <w:r w:rsidRPr="000A0AA3">
        <w:rPr>
          <w:rFonts w:ascii="Geometr706 Md TL" w:hAnsi="Geometr706 Md TL"/>
          <w:sz w:val="20"/>
          <w:szCs w:val="20"/>
        </w:rPr>
        <w:t>amīni</w:t>
      </w:r>
      <w:proofErr w:type="spellEnd"/>
      <w:r w:rsidRPr="000A0AA3">
        <w:rPr>
          <w:rFonts w:ascii="Geometr706 Md TL" w:hAnsi="Geometr706 Md TL"/>
          <w:sz w:val="20"/>
          <w:szCs w:val="20"/>
        </w:rPr>
        <w:t>, fenola un formaldehīda migrācija, krāsvielas), un 8 </w:t>
      </w:r>
      <w:proofErr w:type="spellStart"/>
      <w:r w:rsidRPr="000A0AA3">
        <w:rPr>
          <w:rFonts w:ascii="Geometr706 Md TL" w:hAnsi="Geometr706 Md TL"/>
          <w:sz w:val="20"/>
          <w:szCs w:val="20"/>
        </w:rPr>
        <w:t>elektrorotaļlietu</w:t>
      </w:r>
      <w:proofErr w:type="spellEnd"/>
      <w:r w:rsidRPr="000A0AA3">
        <w:rPr>
          <w:rFonts w:ascii="Geometr706 Md TL" w:hAnsi="Geometr706 Md TL"/>
          <w:sz w:val="20"/>
          <w:szCs w:val="20"/>
        </w:rPr>
        <w:t xml:space="preserve"> paraugiem, pārbaudot to atbilstību elektrisko īpašību prasībām, neatbilstības netika konstatētas. 2 rotaļlietu paraugiem līdz pārskata perioda beigām testēšana vēl nav pabeigta.</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 xml:space="preserve">Ievērojot pārbaudēs konstatētos pārkāpumus un saņemtos ekspertīžu rezultātus, 16 gadījumos PTAC pieņēma lēmumu uzsākt lietvedību administratīvā </w:t>
      </w:r>
      <w:r w:rsidRPr="000A0AA3">
        <w:rPr>
          <w:rFonts w:ascii="Geometr706 Md TL" w:hAnsi="Geometr706 Md TL"/>
          <w:sz w:val="20"/>
          <w:szCs w:val="20"/>
        </w:rPr>
        <w:lastRenderedPageBreak/>
        <w:t>pārkāpuma lietā, 13 gadījumos ir piemērots administratīvais sods, 3 administratīvā pārkāpuma lietas ir izskatīšanā.</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Projekta ietvaros PTAC ir izdevis 4 lēmumus: 3 – par preču un pakalpojumu atbilstību normatīvo aktu prasībām, 1 – par preču un pakalpojumu drošumu.</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Projekta ietvaros sniegtas 123 konsultācijas: komersantiem – 108, fiziskām personām – 8, iestādēm – 8 (t. sk. VID muitas iestādei – 5, Lietuvas tirgus uzraudzības iestādei – 1,</w:t>
      </w:r>
      <w:r w:rsidR="000A0AA3">
        <w:rPr>
          <w:rFonts w:ascii="Geometr706 Md TL" w:hAnsi="Geometr706 Md TL"/>
          <w:sz w:val="20"/>
          <w:szCs w:val="20"/>
        </w:rPr>
        <w:t xml:space="preserve"> testēšanas laboratorijai – 1).</w:t>
      </w:r>
    </w:p>
    <w:p w:rsidR="00256E7F" w:rsidRPr="000A0AA3" w:rsidRDefault="00256E7F" w:rsidP="00256E7F">
      <w:pPr>
        <w:spacing w:line="240" w:lineRule="auto"/>
        <w:rPr>
          <w:rFonts w:ascii="Geometr706 Md TL" w:hAnsi="Geometr706 Md TL"/>
          <w:b/>
          <w:sz w:val="20"/>
          <w:szCs w:val="20"/>
        </w:rPr>
      </w:pPr>
      <w:r w:rsidRPr="000A0AA3">
        <w:rPr>
          <w:rFonts w:ascii="Geometr706 Md TL" w:hAnsi="Geometr706 Md TL"/>
          <w:b/>
          <w:sz w:val="20"/>
          <w:szCs w:val="20"/>
        </w:rPr>
        <w:t>6) Individuālo aizsardzības līdzekļu drošuma un atbilstības uzlabošanas projekts</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PTAC 2013. gadā pārbaudīja šādus IAL:</w:t>
      </w:r>
    </w:p>
    <w:p w:rsidR="00256E7F" w:rsidRPr="000A0AA3" w:rsidRDefault="00256E7F" w:rsidP="000A0AA3">
      <w:pPr>
        <w:pStyle w:val="ListParagraph"/>
        <w:widowControl/>
        <w:numPr>
          <w:ilvl w:val="0"/>
          <w:numId w:val="45"/>
        </w:numPr>
        <w:adjustRightInd/>
        <w:spacing w:line="240" w:lineRule="auto"/>
        <w:textAlignment w:val="auto"/>
        <w:rPr>
          <w:rFonts w:ascii="Geometr706 Md TL" w:hAnsi="Geometr706 Md TL"/>
          <w:sz w:val="20"/>
          <w:szCs w:val="20"/>
          <w:lang w:eastAsia="en-US"/>
        </w:rPr>
      </w:pPr>
      <w:r w:rsidRPr="000A0AA3">
        <w:rPr>
          <w:rFonts w:ascii="Geometr706 Md TL" w:hAnsi="Geometr706 Md TL"/>
          <w:sz w:val="20"/>
          <w:szCs w:val="20"/>
          <w:lang w:eastAsia="en-US"/>
        </w:rPr>
        <w:t>elpošanas ceļu aizsardzības līdzekļi (aizsargmaskas, respiratori);</w:t>
      </w:r>
    </w:p>
    <w:p w:rsidR="00256E7F" w:rsidRPr="000A0AA3" w:rsidRDefault="00256E7F" w:rsidP="000A0AA3">
      <w:pPr>
        <w:pStyle w:val="ListParagraph"/>
        <w:widowControl/>
        <w:numPr>
          <w:ilvl w:val="0"/>
          <w:numId w:val="45"/>
        </w:numPr>
        <w:adjustRightInd/>
        <w:spacing w:line="240" w:lineRule="auto"/>
        <w:textAlignment w:val="auto"/>
        <w:rPr>
          <w:rFonts w:ascii="Geometr706 Md TL" w:hAnsi="Geometr706 Md TL"/>
          <w:sz w:val="20"/>
          <w:szCs w:val="20"/>
          <w:lang w:eastAsia="en-US"/>
        </w:rPr>
      </w:pPr>
      <w:r w:rsidRPr="000A0AA3">
        <w:rPr>
          <w:rFonts w:ascii="Geometr706 Md TL" w:hAnsi="Geometr706 Md TL"/>
          <w:sz w:val="20"/>
          <w:szCs w:val="20"/>
          <w:lang w:eastAsia="en-US"/>
        </w:rPr>
        <w:t>futbolistu apakšstilbu aizsargi;</w:t>
      </w:r>
    </w:p>
    <w:p w:rsidR="00256E7F" w:rsidRPr="000A0AA3" w:rsidRDefault="00256E7F" w:rsidP="000A0AA3">
      <w:pPr>
        <w:pStyle w:val="ListParagraph"/>
        <w:widowControl/>
        <w:numPr>
          <w:ilvl w:val="0"/>
          <w:numId w:val="45"/>
        </w:numPr>
        <w:adjustRightInd/>
        <w:spacing w:line="240" w:lineRule="auto"/>
        <w:textAlignment w:val="auto"/>
        <w:rPr>
          <w:rFonts w:ascii="Geometr706 Md TL" w:hAnsi="Geometr706 Md TL"/>
          <w:sz w:val="20"/>
          <w:szCs w:val="20"/>
          <w:lang w:eastAsia="en-US"/>
        </w:rPr>
      </w:pPr>
      <w:r w:rsidRPr="000A0AA3">
        <w:rPr>
          <w:rFonts w:ascii="Geometr706 Md TL" w:hAnsi="Geometr706 Md TL"/>
          <w:sz w:val="20"/>
          <w:szCs w:val="20"/>
          <w:lang w:eastAsia="en-US"/>
        </w:rPr>
        <w:t xml:space="preserve">plaukstu locītavu, ceļgalu un elkoņu aizsargi </w:t>
      </w:r>
      <w:proofErr w:type="spellStart"/>
      <w:r w:rsidRPr="000A0AA3">
        <w:rPr>
          <w:rFonts w:ascii="Geometr706 Md TL" w:hAnsi="Geometr706 Md TL"/>
          <w:sz w:val="20"/>
          <w:szCs w:val="20"/>
          <w:lang w:eastAsia="en-US"/>
        </w:rPr>
        <w:t>skrituļrīku</w:t>
      </w:r>
      <w:proofErr w:type="spellEnd"/>
      <w:r w:rsidRPr="000A0AA3">
        <w:rPr>
          <w:rFonts w:ascii="Geometr706 Md TL" w:hAnsi="Geometr706 Md TL"/>
          <w:sz w:val="20"/>
          <w:szCs w:val="20"/>
          <w:lang w:eastAsia="en-US"/>
        </w:rPr>
        <w:t xml:space="preserve"> sportistiem;</w:t>
      </w:r>
    </w:p>
    <w:p w:rsidR="00256E7F" w:rsidRPr="000A0AA3" w:rsidRDefault="00256E7F" w:rsidP="000A0AA3">
      <w:pPr>
        <w:pStyle w:val="ListParagraph"/>
        <w:widowControl/>
        <w:numPr>
          <w:ilvl w:val="0"/>
          <w:numId w:val="45"/>
        </w:numPr>
        <w:adjustRightInd/>
        <w:spacing w:line="240" w:lineRule="auto"/>
        <w:textAlignment w:val="auto"/>
        <w:rPr>
          <w:rFonts w:ascii="Geometr706 Md TL" w:hAnsi="Geometr706 Md TL"/>
          <w:sz w:val="20"/>
          <w:szCs w:val="20"/>
          <w:lang w:eastAsia="en-US"/>
        </w:rPr>
      </w:pPr>
      <w:r w:rsidRPr="000A0AA3">
        <w:rPr>
          <w:rFonts w:ascii="Geometr706 Md TL" w:hAnsi="Geometr706 Md TL"/>
          <w:sz w:val="20"/>
          <w:szCs w:val="20"/>
          <w:lang w:eastAsia="en-US"/>
        </w:rPr>
        <w:t>aizsargķiveres riteņbraucējiem, skeitbordistiem un skrituļslidotājiem (pieaugušajiem un bērniem).</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36 pārbaudēs ir izvērtēta 61 IAL modeļa atbilstība piemērojamajām prasībām. 16 modeļiem tika konstatētas šādas neatbilstības:</w:t>
      </w:r>
    </w:p>
    <w:p w:rsidR="00256E7F" w:rsidRPr="000A0AA3" w:rsidRDefault="00256E7F" w:rsidP="000A0AA3">
      <w:pPr>
        <w:numPr>
          <w:ilvl w:val="0"/>
          <w:numId w:val="13"/>
        </w:numPr>
        <w:spacing w:after="0" w:line="240" w:lineRule="auto"/>
        <w:jc w:val="both"/>
        <w:rPr>
          <w:rFonts w:ascii="Geometr706 Md TL" w:hAnsi="Geometr706 Md TL"/>
          <w:sz w:val="20"/>
          <w:szCs w:val="20"/>
        </w:rPr>
      </w:pPr>
      <w:r w:rsidRPr="000A0AA3">
        <w:rPr>
          <w:rFonts w:ascii="Geometr706 Md TL" w:hAnsi="Geometr706 Md TL"/>
          <w:sz w:val="20"/>
          <w:szCs w:val="20"/>
        </w:rPr>
        <w:t>4 modeļiem nav CE marķējuma;</w:t>
      </w:r>
    </w:p>
    <w:p w:rsidR="00256E7F" w:rsidRPr="000A0AA3" w:rsidRDefault="00256E7F" w:rsidP="000A0AA3">
      <w:pPr>
        <w:numPr>
          <w:ilvl w:val="0"/>
          <w:numId w:val="13"/>
        </w:numPr>
        <w:spacing w:after="0" w:line="240" w:lineRule="auto"/>
        <w:jc w:val="both"/>
        <w:rPr>
          <w:rFonts w:ascii="Geometr706 Md TL" w:hAnsi="Geometr706 Md TL"/>
          <w:sz w:val="20"/>
          <w:szCs w:val="20"/>
        </w:rPr>
      </w:pPr>
      <w:r w:rsidRPr="000A0AA3">
        <w:rPr>
          <w:rFonts w:ascii="Geometr706 Md TL" w:hAnsi="Geometr706 Md TL"/>
          <w:sz w:val="20"/>
          <w:szCs w:val="20"/>
        </w:rPr>
        <w:t>14 modeļiem instrukcija ir svešvalodā;</w:t>
      </w:r>
    </w:p>
    <w:p w:rsidR="00256E7F" w:rsidRPr="000A0AA3" w:rsidRDefault="00256E7F" w:rsidP="000A0AA3">
      <w:pPr>
        <w:numPr>
          <w:ilvl w:val="0"/>
          <w:numId w:val="13"/>
        </w:numPr>
        <w:spacing w:after="0" w:line="240" w:lineRule="auto"/>
        <w:jc w:val="both"/>
        <w:rPr>
          <w:rFonts w:ascii="Geometr706 Md TL" w:hAnsi="Geometr706 Md TL"/>
          <w:sz w:val="20"/>
          <w:szCs w:val="20"/>
        </w:rPr>
      </w:pPr>
      <w:r w:rsidRPr="000A0AA3">
        <w:rPr>
          <w:rFonts w:ascii="Geometr706 Md TL" w:hAnsi="Geometr706 Md TL"/>
          <w:sz w:val="20"/>
          <w:szCs w:val="20"/>
        </w:rPr>
        <w:t>1 modelim nav norādīta informācija par preces ražotāju.</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Projekta ietvaros PTAC veica ekspertīzi 17 preču modeļiem, t. sk. 5 preču modeļi (aizsargķiveres) tika izņemti uz robežas. 4 modeļi tika atzīti par neatbilstošiem drošuma prasībām:</w:t>
      </w:r>
    </w:p>
    <w:p w:rsidR="00256E7F" w:rsidRPr="000A0AA3" w:rsidRDefault="00256E7F" w:rsidP="000A0AA3">
      <w:pPr>
        <w:spacing w:line="240" w:lineRule="auto"/>
        <w:jc w:val="both"/>
        <w:rPr>
          <w:rFonts w:ascii="Geometr706 Md TL" w:hAnsi="Geometr706 Md TL"/>
          <w:sz w:val="20"/>
          <w:szCs w:val="20"/>
        </w:rPr>
      </w:pPr>
      <w:r w:rsidRPr="000A0AA3">
        <w:rPr>
          <w:rFonts w:ascii="Geometr706 Md TL" w:hAnsi="Geometr706 Md TL"/>
          <w:sz w:val="20"/>
          <w:szCs w:val="20"/>
        </w:rPr>
        <w:t>•</w:t>
      </w:r>
      <w:r w:rsidRPr="000A0AA3">
        <w:rPr>
          <w:rFonts w:ascii="Geometr706 Md TL" w:hAnsi="Geometr706 Md TL"/>
          <w:sz w:val="20"/>
          <w:szCs w:val="20"/>
        </w:rPr>
        <w:tab/>
        <w:t>no izņemtajiem 8 aizsargķiveru modeļiem 1 modelis nedrošs;</w:t>
      </w:r>
    </w:p>
    <w:p w:rsidR="00256E7F" w:rsidRPr="000A0AA3" w:rsidRDefault="00256E7F" w:rsidP="000A0AA3">
      <w:pPr>
        <w:spacing w:line="240" w:lineRule="auto"/>
        <w:jc w:val="both"/>
        <w:rPr>
          <w:rFonts w:ascii="Geometr706 Md TL" w:hAnsi="Geometr706 Md TL"/>
          <w:sz w:val="20"/>
          <w:szCs w:val="20"/>
        </w:rPr>
      </w:pPr>
      <w:r w:rsidRPr="000A0AA3">
        <w:rPr>
          <w:rFonts w:ascii="Geometr706 Md TL" w:hAnsi="Geometr706 Md TL"/>
          <w:sz w:val="20"/>
          <w:szCs w:val="20"/>
        </w:rPr>
        <w:t>•</w:t>
      </w:r>
      <w:r w:rsidRPr="000A0AA3">
        <w:rPr>
          <w:rFonts w:ascii="Geometr706 Md TL" w:hAnsi="Geometr706 Md TL"/>
          <w:sz w:val="20"/>
          <w:szCs w:val="20"/>
        </w:rPr>
        <w:tab/>
        <w:t>no izņemtajiem 6 aizsargiem skrituļslidotājiem 2 modeļi nedroši;</w:t>
      </w:r>
    </w:p>
    <w:p w:rsidR="00256E7F" w:rsidRPr="000A0AA3" w:rsidRDefault="00256E7F" w:rsidP="000A0AA3">
      <w:pPr>
        <w:spacing w:line="240" w:lineRule="auto"/>
        <w:jc w:val="both"/>
        <w:rPr>
          <w:rFonts w:ascii="Geometr706 Md TL" w:hAnsi="Geometr706 Md TL"/>
          <w:sz w:val="20"/>
          <w:szCs w:val="20"/>
        </w:rPr>
      </w:pPr>
      <w:r w:rsidRPr="000A0AA3">
        <w:rPr>
          <w:rFonts w:ascii="Geometr706 Md TL" w:hAnsi="Geometr706 Md TL"/>
          <w:sz w:val="20"/>
          <w:szCs w:val="20"/>
        </w:rPr>
        <w:t>•</w:t>
      </w:r>
      <w:r w:rsidRPr="000A0AA3">
        <w:rPr>
          <w:rFonts w:ascii="Geometr706 Md TL" w:hAnsi="Geometr706 Md TL"/>
          <w:sz w:val="20"/>
          <w:szCs w:val="20"/>
        </w:rPr>
        <w:tab/>
        <w:t>no izņemtajiem 3 futbolu kāju aizsargiem 1 modelis nedrošs.</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Kopumā projekta realizācijas rezultātā no tirgus ir izņemti 17 prasībām neatbilstoši preču modeļi.</w:t>
      </w:r>
    </w:p>
    <w:p w:rsidR="00256E7F" w:rsidRPr="000A0AA3" w:rsidRDefault="00256E7F" w:rsidP="003179A2">
      <w:pPr>
        <w:spacing w:line="240" w:lineRule="auto"/>
        <w:ind w:firstLine="720"/>
        <w:jc w:val="both"/>
        <w:rPr>
          <w:rFonts w:ascii="Geometr706 Md TL" w:hAnsi="Geometr706 Md TL"/>
          <w:sz w:val="20"/>
          <w:szCs w:val="20"/>
        </w:rPr>
      </w:pPr>
      <w:r w:rsidRPr="000A0AA3">
        <w:rPr>
          <w:rFonts w:ascii="Geometr706 Md TL" w:hAnsi="Geometr706 Md TL"/>
          <w:sz w:val="20"/>
          <w:szCs w:val="20"/>
        </w:rPr>
        <w:t>Projekta periodā kopā tika sniegtas 70 konsultācijas, no tām 36 konsultācijas uzņēmējiem par IAL normatīvo aktu piemērošanu tika sniegtas tirdzniecības vietās, veicot pārbaudes.</w:t>
      </w:r>
    </w:p>
    <w:p w:rsidR="00256E7F" w:rsidRPr="000A0AA3" w:rsidRDefault="00256E7F" w:rsidP="000A0AA3">
      <w:pPr>
        <w:spacing w:line="240" w:lineRule="auto"/>
        <w:jc w:val="both"/>
        <w:rPr>
          <w:rFonts w:ascii="Geometr706 Md TL" w:hAnsi="Geometr706 Md TL"/>
          <w:b/>
          <w:sz w:val="20"/>
          <w:szCs w:val="20"/>
        </w:rPr>
      </w:pPr>
      <w:r w:rsidRPr="000A0AA3">
        <w:rPr>
          <w:rFonts w:ascii="Geometr706 Md TL" w:hAnsi="Geometr706 Md TL"/>
          <w:b/>
          <w:sz w:val="20"/>
          <w:szCs w:val="20"/>
        </w:rPr>
        <w:t>7) </w:t>
      </w:r>
      <w:proofErr w:type="spellStart"/>
      <w:r w:rsidRPr="000A0AA3">
        <w:rPr>
          <w:rFonts w:ascii="Geometr706 Md TL" w:hAnsi="Geometr706 Md TL"/>
          <w:b/>
          <w:sz w:val="20"/>
          <w:szCs w:val="20"/>
        </w:rPr>
        <w:t>Mašīniekārtu</w:t>
      </w:r>
      <w:proofErr w:type="spellEnd"/>
      <w:r w:rsidRPr="000A0AA3">
        <w:rPr>
          <w:rFonts w:ascii="Geometr706 Md TL" w:hAnsi="Geometr706 Md TL"/>
          <w:b/>
          <w:sz w:val="20"/>
          <w:szCs w:val="20"/>
        </w:rPr>
        <w:t xml:space="preserve"> drošuma un atbilstības uzlabošanas projekts</w:t>
      </w:r>
    </w:p>
    <w:p w:rsidR="00256E7F" w:rsidRPr="000A0AA3" w:rsidRDefault="00256E7F" w:rsidP="000A0AA3">
      <w:pPr>
        <w:spacing w:line="240" w:lineRule="auto"/>
        <w:jc w:val="both"/>
        <w:rPr>
          <w:rFonts w:ascii="Geometr706 Md TL" w:hAnsi="Geometr706 Md TL"/>
          <w:sz w:val="20"/>
          <w:szCs w:val="20"/>
        </w:rPr>
      </w:pPr>
      <w:r w:rsidRPr="000A0AA3">
        <w:rPr>
          <w:rFonts w:ascii="Geometr706 Md TL" w:hAnsi="Geometr706 Md TL"/>
          <w:sz w:val="20"/>
          <w:szCs w:val="20"/>
        </w:rPr>
        <w:tab/>
        <w:t xml:space="preserve">PTAC ir realizējis </w:t>
      </w:r>
      <w:proofErr w:type="spellStart"/>
      <w:r w:rsidRPr="000A0AA3">
        <w:rPr>
          <w:rFonts w:ascii="Geometr706 Md TL" w:hAnsi="Geometr706 Md TL"/>
          <w:sz w:val="20"/>
          <w:szCs w:val="20"/>
        </w:rPr>
        <w:t>Mašīniekārtu</w:t>
      </w:r>
      <w:proofErr w:type="spellEnd"/>
      <w:r w:rsidRPr="000A0AA3">
        <w:rPr>
          <w:rFonts w:ascii="Geometr706 Md TL" w:hAnsi="Geometr706 Md TL"/>
          <w:sz w:val="20"/>
          <w:szCs w:val="20"/>
        </w:rPr>
        <w:t xml:space="preserve"> drošuma un atbilstības uzlabošanas projektu (ripzāģi un rokas instrumenti ar neelektrisku piedziņu) ar preču paraugu testēšanu.</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Projekta ietvaros veikti 18 apsekojumi un 16 pārbaudes, kuru ietvaros pārbaudīta 34 ripzāģu un rokas instrumentu modeļu atbilstība normatīvo aktu prasībām, t. sk. 14 ripzāģu un 10 rokas instrumentu modeļiem ir veiktas tikai administratīvās pārbaudes (10 ripzāģu modeļu paraugi (2 </w:t>
      </w:r>
      <w:proofErr w:type="spellStart"/>
      <w:r w:rsidRPr="000A0AA3">
        <w:rPr>
          <w:rFonts w:ascii="Geometr706 Md TL" w:hAnsi="Geometr706 Md TL"/>
          <w:sz w:val="20"/>
          <w:szCs w:val="20"/>
        </w:rPr>
        <w:t>leņķzāģi</w:t>
      </w:r>
      <w:proofErr w:type="spellEnd"/>
      <w:r w:rsidRPr="000A0AA3">
        <w:rPr>
          <w:rFonts w:ascii="Geometr706 Md TL" w:hAnsi="Geometr706 Md TL"/>
          <w:sz w:val="20"/>
          <w:szCs w:val="20"/>
        </w:rPr>
        <w:t xml:space="preserve"> un 8 rokas pārnēsājamie ripzāģi) izņemti ekspertīzes veikšanai). Administratīvo pārbaužu rezultātā tika konstatēts, ka 3 ripzāģu modeļiem nav lietošanas instrukcijas, kas nodrošina preču drošu lietošanu, tostarp brīdinot par pastāvošajiem riskiem. Lietu izskatīšanas rezultātā 2 modeļu neatbilstība ir novērsta, 1 modelis ir izņemts no tirgus.</w:t>
      </w:r>
    </w:p>
    <w:p w:rsidR="00256E7F" w:rsidRPr="000A0AA3" w:rsidRDefault="00256E7F" w:rsidP="000A0AA3">
      <w:pPr>
        <w:spacing w:line="240" w:lineRule="auto"/>
        <w:jc w:val="both"/>
        <w:rPr>
          <w:rFonts w:ascii="Geometr706 Md TL" w:hAnsi="Geometr706 Md TL"/>
          <w:sz w:val="20"/>
          <w:szCs w:val="20"/>
        </w:rPr>
      </w:pPr>
      <w:r w:rsidRPr="000A0AA3">
        <w:rPr>
          <w:rFonts w:ascii="Geometr706 Md TL" w:hAnsi="Geometr706 Md TL"/>
          <w:sz w:val="20"/>
          <w:szCs w:val="20"/>
        </w:rPr>
        <w:tab/>
        <w:t>Ekspertīzē 2 no 10 ripzāģu modeļiem (</w:t>
      </w:r>
      <w:proofErr w:type="spellStart"/>
      <w:r w:rsidRPr="000A0AA3">
        <w:rPr>
          <w:rFonts w:ascii="Geometr706 Md TL" w:hAnsi="Geometr706 Md TL"/>
          <w:sz w:val="20"/>
          <w:szCs w:val="20"/>
        </w:rPr>
        <w:t>leņķzāģiem</w:t>
      </w:r>
      <w:proofErr w:type="spellEnd"/>
      <w:r w:rsidRPr="000A0AA3">
        <w:rPr>
          <w:rFonts w:ascii="Geometr706 Md TL" w:hAnsi="Geometr706 Md TL"/>
          <w:sz w:val="20"/>
          <w:szCs w:val="20"/>
        </w:rPr>
        <w:t>) ir konstatētas neatbilstības būtiskajām drošuma prasībām.</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lastRenderedPageBreak/>
        <w:t>PTAC saņēma informāciju no Igaunijas tirgus uzraudzības iestādes par to, ka Latvijā reģistrēts komersants izplata tirgū drošuma prasībām neatbilstošus betona maisītājus. Tirgus uzraudzības darbību rezultātā 116 vienību tirdzniecība tika apturēta. Komersants ir veicis preces neatbilstību novēršanu, ir izņēmis tās no tirgus, tostarp ir atsaucis no mazumtirdzniecības, un ir nodrošinājis betonu maisītājus ar avārijas slēdzi, kas a</w:t>
      </w:r>
      <w:r w:rsidR="000A0AA3">
        <w:rPr>
          <w:rFonts w:ascii="Geometr706 Md TL" w:hAnsi="Geometr706 Md TL"/>
          <w:sz w:val="20"/>
          <w:szCs w:val="20"/>
        </w:rPr>
        <w:t>tbilst normatīvo aktu prasībām.</w:t>
      </w:r>
    </w:p>
    <w:p w:rsidR="00256E7F" w:rsidRPr="000A0AA3" w:rsidRDefault="00256E7F" w:rsidP="000A0AA3">
      <w:pPr>
        <w:spacing w:line="240" w:lineRule="auto"/>
        <w:jc w:val="both"/>
        <w:rPr>
          <w:rFonts w:ascii="Geometr706 Md TL" w:hAnsi="Geometr706 Md TL"/>
          <w:b/>
          <w:sz w:val="20"/>
          <w:szCs w:val="20"/>
        </w:rPr>
      </w:pPr>
      <w:r w:rsidRPr="000A0AA3">
        <w:rPr>
          <w:rFonts w:ascii="Geometr706 Md TL" w:hAnsi="Geometr706 Md TL"/>
          <w:b/>
          <w:sz w:val="20"/>
          <w:szCs w:val="20"/>
        </w:rPr>
        <w:t>8) Transportējamo spiedieniekārtu drošuma un a</w:t>
      </w:r>
      <w:r w:rsidR="000A0AA3">
        <w:rPr>
          <w:rFonts w:ascii="Geometr706 Md TL" w:hAnsi="Geometr706 Md TL"/>
          <w:b/>
          <w:sz w:val="20"/>
          <w:szCs w:val="20"/>
        </w:rPr>
        <w:t>tbilstības uzlabošanas projekts</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Projekta mērķis bija samazināt patērētāju risku saņemt drošuma prasībām neatbilstošus gāzes balonus, nodrošinot, ka galapatērētājiem netiek piedāvāti normatīvo aktu prasībām neatbilstoši gāzes baloni.</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Projekta ietvaros veikti 12 apsekojumi un 28 pārbaudes, kuru ietvaros pārbaudīti 947 dažāda tilpuma sašķidrinātās naftas gāzes baloni. Pārbaudīti 13 dažādu veidu gāzes balonu modeļi:</w:t>
      </w:r>
    </w:p>
    <w:p w:rsidR="00256E7F" w:rsidRPr="000A0AA3" w:rsidRDefault="00256E7F" w:rsidP="000A0AA3">
      <w:pPr>
        <w:numPr>
          <w:ilvl w:val="0"/>
          <w:numId w:val="17"/>
        </w:numPr>
        <w:spacing w:after="0" w:line="240" w:lineRule="auto"/>
        <w:jc w:val="both"/>
        <w:rPr>
          <w:rFonts w:ascii="Geometr706 Md TL" w:hAnsi="Geometr706 Md TL"/>
          <w:sz w:val="20"/>
          <w:szCs w:val="20"/>
        </w:rPr>
      </w:pPr>
      <w:r w:rsidRPr="000A0AA3">
        <w:rPr>
          <w:rFonts w:ascii="Geometr706 Md TL" w:hAnsi="Geometr706 Md TL"/>
          <w:sz w:val="20"/>
          <w:szCs w:val="20"/>
        </w:rPr>
        <w:t>50 litru ar ГОСТ marķējumu;</w:t>
      </w:r>
    </w:p>
    <w:p w:rsidR="00256E7F" w:rsidRPr="000A0AA3" w:rsidRDefault="00256E7F" w:rsidP="000A0AA3">
      <w:pPr>
        <w:numPr>
          <w:ilvl w:val="0"/>
          <w:numId w:val="17"/>
        </w:numPr>
        <w:spacing w:after="0" w:line="240" w:lineRule="auto"/>
        <w:jc w:val="both"/>
        <w:rPr>
          <w:rFonts w:ascii="Geometr706 Md TL" w:hAnsi="Geometr706 Md TL"/>
          <w:sz w:val="20"/>
          <w:szCs w:val="20"/>
        </w:rPr>
      </w:pPr>
      <w:r w:rsidRPr="000A0AA3">
        <w:rPr>
          <w:rFonts w:ascii="Geometr706 Md TL" w:hAnsi="Geometr706 Md TL"/>
          <w:sz w:val="20"/>
          <w:szCs w:val="20"/>
        </w:rPr>
        <w:t>46 litru ar π marķējumu;</w:t>
      </w:r>
    </w:p>
    <w:p w:rsidR="00256E7F" w:rsidRPr="000A0AA3" w:rsidRDefault="00256E7F" w:rsidP="000A0AA3">
      <w:pPr>
        <w:numPr>
          <w:ilvl w:val="0"/>
          <w:numId w:val="17"/>
        </w:numPr>
        <w:spacing w:after="0" w:line="240" w:lineRule="auto"/>
        <w:jc w:val="both"/>
        <w:rPr>
          <w:rFonts w:ascii="Geometr706 Md TL" w:hAnsi="Geometr706 Md TL"/>
          <w:sz w:val="20"/>
          <w:szCs w:val="20"/>
        </w:rPr>
      </w:pPr>
      <w:r w:rsidRPr="000A0AA3">
        <w:rPr>
          <w:rFonts w:ascii="Geometr706 Md TL" w:hAnsi="Geometr706 Md TL"/>
          <w:sz w:val="20"/>
          <w:szCs w:val="20"/>
        </w:rPr>
        <w:t>27 litru ar ГОСТ marķējumu;</w:t>
      </w:r>
    </w:p>
    <w:p w:rsidR="00256E7F" w:rsidRPr="000A0AA3" w:rsidRDefault="00256E7F" w:rsidP="000A0AA3">
      <w:pPr>
        <w:numPr>
          <w:ilvl w:val="0"/>
          <w:numId w:val="17"/>
        </w:numPr>
        <w:spacing w:after="0" w:line="240" w:lineRule="auto"/>
        <w:jc w:val="both"/>
        <w:rPr>
          <w:rFonts w:ascii="Geometr706 Md TL" w:hAnsi="Geometr706 Md TL"/>
          <w:sz w:val="20"/>
          <w:szCs w:val="20"/>
        </w:rPr>
      </w:pPr>
      <w:r w:rsidRPr="000A0AA3">
        <w:rPr>
          <w:rFonts w:ascii="Geometr706 Md TL" w:hAnsi="Geometr706 Md TL"/>
          <w:sz w:val="20"/>
          <w:szCs w:val="20"/>
        </w:rPr>
        <w:t>27 litru ar π marķējumu;</w:t>
      </w:r>
    </w:p>
    <w:p w:rsidR="00256E7F" w:rsidRPr="000A0AA3" w:rsidRDefault="00256E7F" w:rsidP="000A0AA3">
      <w:pPr>
        <w:numPr>
          <w:ilvl w:val="0"/>
          <w:numId w:val="17"/>
        </w:numPr>
        <w:spacing w:after="0" w:line="240" w:lineRule="auto"/>
        <w:jc w:val="both"/>
        <w:rPr>
          <w:rFonts w:ascii="Geometr706 Md TL" w:hAnsi="Geometr706 Md TL"/>
          <w:sz w:val="20"/>
          <w:szCs w:val="20"/>
        </w:rPr>
      </w:pPr>
      <w:r w:rsidRPr="000A0AA3">
        <w:rPr>
          <w:rFonts w:ascii="Geometr706 Md TL" w:hAnsi="Geometr706 Md TL"/>
          <w:sz w:val="20"/>
          <w:szCs w:val="20"/>
        </w:rPr>
        <w:t>5 litru ar ГОСТ marķējumu;</w:t>
      </w:r>
    </w:p>
    <w:p w:rsidR="00256E7F" w:rsidRPr="000A0AA3" w:rsidRDefault="00256E7F" w:rsidP="000A0AA3">
      <w:pPr>
        <w:numPr>
          <w:ilvl w:val="0"/>
          <w:numId w:val="17"/>
        </w:numPr>
        <w:spacing w:after="0" w:line="240" w:lineRule="auto"/>
        <w:jc w:val="both"/>
        <w:rPr>
          <w:rFonts w:ascii="Geometr706 Md TL" w:hAnsi="Geometr706 Md TL"/>
          <w:sz w:val="20"/>
          <w:szCs w:val="20"/>
        </w:rPr>
      </w:pPr>
      <w:r w:rsidRPr="000A0AA3">
        <w:rPr>
          <w:rFonts w:ascii="Geometr706 Md TL" w:hAnsi="Geometr706 Md TL"/>
          <w:sz w:val="20"/>
          <w:szCs w:val="20"/>
        </w:rPr>
        <w:t>5 litru ar π marķējumu;</w:t>
      </w:r>
    </w:p>
    <w:p w:rsidR="00256E7F" w:rsidRPr="000A0AA3" w:rsidRDefault="00256E7F" w:rsidP="000A0AA3">
      <w:pPr>
        <w:numPr>
          <w:ilvl w:val="0"/>
          <w:numId w:val="17"/>
        </w:numPr>
        <w:spacing w:after="0" w:line="240" w:lineRule="auto"/>
        <w:jc w:val="both"/>
        <w:rPr>
          <w:rFonts w:ascii="Geometr706 Md TL" w:hAnsi="Geometr706 Md TL"/>
          <w:sz w:val="20"/>
          <w:szCs w:val="20"/>
        </w:rPr>
      </w:pPr>
      <w:r w:rsidRPr="000A0AA3">
        <w:rPr>
          <w:rFonts w:ascii="Geometr706 Md TL" w:hAnsi="Geometr706 Md TL"/>
          <w:sz w:val="20"/>
          <w:szCs w:val="20"/>
        </w:rPr>
        <w:t>79 litru ar ГОСТ marķējumu;</w:t>
      </w:r>
    </w:p>
    <w:p w:rsidR="00256E7F" w:rsidRPr="000A0AA3" w:rsidRDefault="00256E7F" w:rsidP="000A0AA3">
      <w:pPr>
        <w:numPr>
          <w:ilvl w:val="0"/>
          <w:numId w:val="17"/>
        </w:numPr>
        <w:spacing w:after="0" w:line="240" w:lineRule="auto"/>
        <w:jc w:val="both"/>
        <w:rPr>
          <w:rFonts w:ascii="Geometr706 Md TL" w:hAnsi="Geometr706 Md TL"/>
          <w:sz w:val="20"/>
          <w:szCs w:val="20"/>
        </w:rPr>
      </w:pPr>
      <w:r w:rsidRPr="000A0AA3">
        <w:rPr>
          <w:rFonts w:ascii="Geometr706 Md TL" w:hAnsi="Geometr706 Md TL"/>
          <w:sz w:val="20"/>
          <w:szCs w:val="20"/>
        </w:rPr>
        <w:t>79 litru ar π marķējumu;</w:t>
      </w:r>
    </w:p>
    <w:p w:rsidR="00256E7F" w:rsidRPr="000A0AA3" w:rsidRDefault="00256E7F" w:rsidP="000A0AA3">
      <w:pPr>
        <w:numPr>
          <w:ilvl w:val="0"/>
          <w:numId w:val="17"/>
        </w:numPr>
        <w:spacing w:after="0" w:line="240" w:lineRule="auto"/>
        <w:jc w:val="both"/>
        <w:rPr>
          <w:rFonts w:ascii="Geometr706 Md TL" w:hAnsi="Geometr706 Md TL"/>
          <w:sz w:val="20"/>
          <w:szCs w:val="20"/>
        </w:rPr>
      </w:pPr>
      <w:r w:rsidRPr="000A0AA3">
        <w:rPr>
          <w:rFonts w:ascii="Geometr706 Md TL" w:hAnsi="Geometr706 Md TL"/>
          <w:sz w:val="20"/>
          <w:szCs w:val="20"/>
        </w:rPr>
        <w:t>41 litra ar ГОСТ marķējumu;</w:t>
      </w:r>
    </w:p>
    <w:p w:rsidR="00256E7F" w:rsidRPr="000A0AA3" w:rsidRDefault="00256E7F" w:rsidP="000A0AA3">
      <w:pPr>
        <w:numPr>
          <w:ilvl w:val="0"/>
          <w:numId w:val="17"/>
        </w:numPr>
        <w:spacing w:after="0" w:line="240" w:lineRule="auto"/>
        <w:jc w:val="both"/>
        <w:rPr>
          <w:rFonts w:ascii="Geometr706 Md TL" w:hAnsi="Geometr706 Md TL"/>
          <w:sz w:val="20"/>
          <w:szCs w:val="20"/>
        </w:rPr>
      </w:pPr>
      <w:r w:rsidRPr="000A0AA3">
        <w:rPr>
          <w:rFonts w:ascii="Geometr706 Md TL" w:hAnsi="Geometr706 Md TL"/>
          <w:sz w:val="20"/>
          <w:szCs w:val="20"/>
        </w:rPr>
        <w:t>12,5 litru (</w:t>
      </w:r>
      <w:proofErr w:type="spellStart"/>
      <w:r w:rsidRPr="000A0AA3">
        <w:rPr>
          <w:rFonts w:ascii="Geometr706 Md TL" w:hAnsi="Geometr706 Md TL"/>
          <w:sz w:val="20"/>
          <w:szCs w:val="20"/>
        </w:rPr>
        <w:t>grilgāze</w:t>
      </w:r>
      <w:proofErr w:type="spellEnd"/>
      <w:r w:rsidRPr="000A0AA3">
        <w:rPr>
          <w:rFonts w:ascii="Geometr706 Md TL" w:hAnsi="Geometr706 Md TL"/>
          <w:sz w:val="20"/>
          <w:szCs w:val="20"/>
        </w:rPr>
        <w:t>);</w:t>
      </w:r>
    </w:p>
    <w:p w:rsidR="00256E7F" w:rsidRPr="000A0AA3" w:rsidRDefault="00256E7F" w:rsidP="000A0AA3">
      <w:pPr>
        <w:numPr>
          <w:ilvl w:val="0"/>
          <w:numId w:val="17"/>
        </w:numPr>
        <w:spacing w:after="0" w:line="240" w:lineRule="auto"/>
        <w:jc w:val="both"/>
        <w:rPr>
          <w:rFonts w:ascii="Geometr706 Md TL" w:hAnsi="Geometr706 Md TL"/>
          <w:sz w:val="20"/>
          <w:szCs w:val="20"/>
        </w:rPr>
      </w:pPr>
      <w:r w:rsidRPr="000A0AA3">
        <w:rPr>
          <w:rFonts w:ascii="Geometr706 Md TL" w:hAnsi="Geometr706 Md TL"/>
          <w:sz w:val="20"/>
          <w:szCs w:val="20"/>
        </w:rPr>
        <w:t>24,5 litru (</w:t>
      </w:r>
      <w:proofErr w:type="spellStart"/>
      <w:r w:rsidRPr="000A0AA3">
        <w:rPr>
          <w:rFonts w:ascii="Geometr706 Md TL" w:hAnsi="Geometr706 Md TL"/>
          <w:sz w:val="20"/>
          <w:szCs w:val="20"/>
        </w:rPr>
        <w:t>grilgāze</w:t>
      </w:r>
      <w:proofErr w:type="spellEnd"/>
      <w:r w:rsidRPr="000A0AA3">
        <w:rPr>
          <w:rFonts w:ascii="Geometr706 Md TL" w:hAnsi="Geometr706 Md TL"/>
          <w:sz w:val="20"/>
          <w:szCs w:val="20"/>
        </w:rPr>
        <w:t>);</w:t>
      </w:r>
    </w:p>
    <w:p w:rsidR="00256E7F" w:rsidRPr="000A0AA3" w:rsidRDefault="00256E7F" w:rsidP="000A0AA3">
      <w:pPr>
        <w:numPr>
          <w:ilvl w:val="0"/>
          <w:numId w:val="17"/>
        </w:numPr>
        <w:spacing w:after="0" w:line="240" w:lineRule="auto"/>
        <w:jc w:val="both"/>
        <w:rPr>
          <w:rFonts w:ascii="Geometr706 Md TL" w:hAnsi="Geometr706 Md TL"/>
          <w:sz w:val="20"/>
          <w:szCs w:val="20"/>
        </w:rPr>
      </w:pPr>
      <w:r w:rsidRPr="000A0AA3">
        <w:rPr>
          <w:rFonts w:ascii="Geometr706 Md TL" w:hAnsi="Geometr706 Md TL"/>
          <w:sz w:val="20"/>
          <w:szCs w:val="20"/>
        </w:rPr>
        <w:t>4,8 litru ar π marķējumu (portatīvajām plītiņām);</w:t>
      </w:r>
    </w:p>
    <w:p w:rsidR="00256E7F" w:rsidRPr="000A0AA3" w:rsidRDefault="00256E7F" w:rsidP="000A0AA3">
      <w:pPr>
        <w:numPr>
          <w:ilvl w:val="0"/>
          <w:numId w:val="17"/>
        </w:numPr>
        <w:spacing w:after="0" w:line="240" w:lineRule="auto"/>
        <w:jc w:val="both"/>
        <w:rPr>
          <w:rFonts w:ascii="Geometr706 Md TL" w:hAnsi="Geometr706 Md TL"/>
          <w:sz w:val="20"/>
          <w:szCs w:val="20"/>
        </w:rPr>
      </w:pPr>
      <w:r w:rsidRPr="000A0AA3">
        <w:rPr>
          <w:rFonts w:ascii="Geometr706 Md TL" w:hAnsi="Geometr706 Md TL"/>
          <w:sz w:val="20"/>
          <w:szCs w:val="20"/>
        </w:rPr>
        <w:t>7,2 litru ar π marķējumu (portatīvajām plītiņām).</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Pārbaužu rezultātā tika konstatēts, ka SIA „</w:t>
      </w:r>
      <w:proofErr w:type="spellStart"/>
      <w:r w:rsidRPr="000A0AA3">
        <w:rPr>
          <w:rFonts w:ascii="Geometr706 Md TL" w:hAnsi="Geometr706 Md TL"/>
          <w:sz w:val="20"/>
          <w:szCs w:val="20"/>
        </w:rPr>
        <w:t>Saurida</w:t>
      </w:r>
      <w:proofErr w:type="spellEnd"/>
      <w:r w:rsidRPr="000A0AA3">
        <w:rPr>
          <w:rFonts w:ascii="Geometr706 Md TL" w:hAnsi="Geometr706 Md TL"/>
          <w:sz w:val="20"/>
          <w:szCs w:val="20"/>
        </w:rPr>
        <w:t xml:space="preserve"> Latvija” piegādā normatīvo aktu prasībām neatbilstošus gāzes balonus, un tika apturēta 253 normatīvo aktu prasībām neatbilstošo gāzes balonu realizācija, t. sk.:</w:t>
      </w:r>
    </w:p>
    <w:p w:rsidR="00256E7F" w:rsidRPr="000A0AA3" w:rsidRDefault="00256E7F" w:rsidP="000A0AA3">
      <w:pPr>
        <w:numPr>
          <w:ilvl w:val="0"/>
          <w:numId w:val="18"/>
        </w:numPr>
        <w:spacing w:after="0" w:line="240" w:lineRule="auto"/>
        <w:jc w:val="both"/>
        <w:rPr>
          <w:rFonts w:ascii="Geometr706 Md TL" w:hAnsi="Geometr706 Md TL"/>
          <w:sz w:val="20"/>
          <w:szCs w:val="20"/>
        </w:rPr>
      </w:pPr>
      <w:r w:rsidRPr="000A0AA3">
        <w:rPr>
          <w:rFonts w:ascii="Geometr706 Md TL" w:hAnsi="Geometr706 Md TL"/>
          <w:sz w:val="20"/>
          <w:szCs w:val="20"/>
        </w:rPr>
        <w:t>123 gāzes baloni (ar 50 litru tilpumu), kas nav nodrošināti ar π marķējumu un ir uzpildīti ārpus Latvijas teritorijas,</w:t>
      </w:r>
    </w:p>
    <w:p w:rsidR="00256E7F" w:rsidRPr="000A0AA3" w:rsidRDefault="00256E7F" w:rsidP="000A0AA3">
      <w:pPr>
        <w:numPr>
          <w:ilvl w:val="0"/>
          <w:numId w:val="18"/>
        </w:numPr>
        <w:spacing w:after="0" w:line="240" w:lineRule="auto"/>
        <w:jc w:val="both"/>
        <w:rPr>
          <w:rFonts w:ascii="Geometr706 Md TL" w:hAnsi="Geometr706 Md TL"/>
          <w:sz w:val="20"/>
          <w:szCs w:val="20"/>
        </w:rPr>
      </w:pPr>
      <w:r w:rsidRPr="000A0AA3">
        <w:rPr>
          <w:rFonts w:ascii="Geometr706 Md TL" w:hAnsi="Geometr706 Md TL"/>
          <w:sz w:val="20"/>
          <w:szCs w:val="20"/>
        </w:rPr>
        <w:t>125 gāzes baloni (ar 27 litru tilpumu), kas ir nodrošināti ar π marķējumu, ir uzpildīti ārpus Latvijas teritorijas, bet nav nodrošināti ar vispusīgu un pilnīgu informāciju par preci,</w:t>
      </w:r>
    </w:p>
    <w:p w:rsidR="00256E7F" w:rsidRPr="000A0AA3" w:rsidRDefault="00256E7F" w:rsidP="000A0AA3">
      <w:pPr>
        <w:numPr>
          <w:ilvl w:val="0"/>
          <w:numId w:val="18"/>
        </w:numPr>
        <w:spacing w:after="0" w:line="240" w:lineRule="auto"/>
        <w:jc w:val="both"/>
        <w:rPr>
          <w:rFonts w:ascii="Geometr706 Md TL" w:hAnsi="Geometr706 Md TL"/>
          <w:sz w:val="20"/>
          <w:szCs w:val="20"/>
        </w:rPr>
      </w:pPr>
      <w:r w:rsidRPr="000A0AA3">
        <w:rPr>
          <w:rFonts w:ascii="Geometr706 Md TL" w:hAnsi="Geometr706 Md TL"/>
          <w:sz w:val="20"/>
          <w:szCs w:val="20"/>
        </w:rPr>
        <w:t>5 gāzes baloni (ar 5 litru tilpumu), kas nav nodrošināti ar π marķējumu un ir uzpildīti ārpus Latvijas teritorijas.</w:t>
      </w:r>
    </w:p>
    <w:p w:rsidR="00256E7F" w:rsidRPr="000A0AA3" w:rsidRDefault="00256E7F" w:rsidP="000A0AA3">
      <w:pPr>
        <w:spacing w:line="240" w:lineRule="auto"/>
        <w:jc w:val="both"/>
        <w:rPr>
          <w:rFonts w:ascii="Geometr706 Md TL" w:hAnsi="Geometr706 Md TL"/>
          <w:b/>
          <w:i/>
          <w:sz w:val="20"/>
          <w:szCs w:val="20"/>
          <w:u w:val="single"/>
        </w:rPr>
      </w:pPr>
      <w:r w:rsidRPr="000A0AA3">
        <w:rPr>
          <w:rFonts w:ascii="Geometr706 Md TL" w:hAnsi="Geometr706 Md TL"/>
          <w:sz w:val="20"/>
          <w:szCs w:val="20"/>
        </w:rPr>
        <w:tab/>
        <w:t>Tā kā komersants neatbilstības nenovērsa, kā arī nesniedza PTAC nepieciešamo informāciju par neatbilstošu balonu izplatīšanu Latvijas tirgū, 2013. gada 28. decembrī tika pieņemts lēmums par preču un pakalpojumu atbilstību normatīvo aktu prasībām Nr. 8-pap, ar kuru SIA „</w:t>
      </w:r>
      <w:proofErr w:type="spellStart"/>
      <w:r w:rsidRPr="000A0AA3">
        <w:rPr>
          <w:rFonts w:ascii="Geometr706 Md TL" w:hAnsi="Geometr706 Md TL"/>
          <w:sz w:val="20"/>
          <w:szCs w:val="20"/>
        </w:rPr>
        <w:t>Saurida</w:t>
      </w:r>
      <w:proofErr w:type="spellEnd"/>
      <w:r w:rsidRPr="000A0AA3">
        <w:rPr>
          <w:rFonts w:ascii="Geometr706 Md TL" w:hAnsi="Geometr706 Md TL"/>
          <w:sz w:val="20"/>
          <w:szCs w:val="20"/>
        </w:rPr>
        <w:t xml:space="preserve"> Latvija” tika aizliegts realizēt Latvijas tirgū tādus sašķidrinātās naftas gāzes balonus (ar 50 litru tilpumu), kas laisti tirgū līdz 2003. gada 1. jūlijam, nav nodrošināti ar π zīmes marķējumu un ir uzpildīti ārpus Latvijas teritorijas, līdz brīdim, kad tiks nodrošināta to atbilstība MK 2011. gada 28. jūnija noteikumu Nr. 500 „Noteikumi par transportējamām spiedieniekārtām” prasībām. Vienlaikus PTAC uzdeva komersantam līdz 2014. gada 30. janvārim izņemt no Latvijas tirgus jau izplatītos sašķidrinātās naftas gāzes balonus (ar 50 litru tilpumu), kas ir laisti tirgū līdz 2003. gada 1. jūlijam, nav nodrošināti ar π zīmes marķējumu un ir uzpildīti ārpus Latvijas teritorijas.</w:t>
      </w:r>
    </w:p>
    <w:p w:rsidR="00256E7F" w:rsidRPr="000A0AA3" w:rsidRDefault="000A0AA3" w:rsidP="000A0AA3">
      <w:pPr>
        <w:spacing w:line="240" w:lineRule="auto"/>
        <w:jc w:val="both"/>
        <w:rPr>
          <w:rFonts w:ascii="Geometr706 Md TL" w:hAnsi="Geometr706 Md TL"/>
          <w:b/>
          <w:sz w:val="20"/>
          <w:szCs w:val="20"/>
        </w:rPr>
      </w:pPr>
      <w:r w:rsidRPr="000A0AA3">
        <w:rPr>
          <w:rFonts w:ascii="Geometr706 Md TL" w:hAnsi="Geometr706 Md TL"/>
          <w:b/>
          <w:sz w:val="20"/>
          <w:szCs w:val="20"/>
        </w:rPr>
        <w:t>9) Eiro uzraudzības projekts</w:t>
      </w:r>
    </w:p>
    <w:p w:rsidR="00256E7F" w:rsidRPr="000A0AA3" w:rsidRDefault="00256E7F" w:rsidP="000A0AA3">
      <w:pPr>
        <w:spacing w:line="240" w:lineRule="auto"/>
        <w:jc w:val="both"/>
        <w:rPr>
          <w:rFonts w:ascii="Geometr706 Md TL" w:hAnsi="Geometr706 Md TL"/>
          <w:sz w:val="20"/>
          <w:szCs w:val="20"/>
        </w:rPr>
      </w:pPr>
      <w:r w:rsidRPr="000A0AA3">
        <w:rPr>
          <w:rFonts w:ascii="Geometr706 Md TL" w:hAnsi="Geometr706 Md TL"/>
          <w:sz w:val="20"/>
          <w:szCs w:val="20"/>
        </w:rPr>
        <w:tab/>
        <w:t xml:space="preserve">2013. gada 10. maijā stājās spēkā grozījumi 1999. gada 18. maija MK noteikumos Nr. 178 „Kārtība, kādā norādāmas preču un pakalpojumu cenas”, kuros </w:t>
      </w:r>
      <w:r w:rsidRPr="000A0AA3">
        <w:rPr>
          <w:rFonts w:ascii="Geometr706 Md TL" w:hAnsi="Geometr706 Md TL"/>
          <w:sz w:val="20"/>
          <w:szCs w:val="20"/>
        </w:rPr>
        <w:lastRenderedPageBreak/>
        <w:t>noteikta arī preču un pakalpojumu cenu paralēlās atspoguļošanas kārtība. Pārbaudēs pēc minētā datuma komersanti tika informēti, ka 3 mēnešus pirms (no 2013. gada 1. oktobra līdz 2013. gada 31. decembrim) un 6 mēnešus pēc (no 2014. gada 1. janvāra līdz 2014. gada 30. jūnijam) eiro ieviešanas preču un pakalpojumu cenas ir jānorāda paralēli gan latos, gan eiro. PTAC 2013. gadā aktīvi informēja komersantus par prasībām cenu paralēlajā atspoguļošanā, izstrādājot dokumentu „Vadlīnijas preču un pakalpojumu cenu norādīšanas kārtībai cenu paralēlās atspoguļošanas periodā”,</w:t>
      </w:r>
      <w:r w:rsidRPr="000A0AA3">
        <w:rPr>
          <w:rFonts w:ascii="Geometr706 Md TL" w:hAnsi="Geometr706 Md TL"/>
          <w:i/>
          <w:sz w:val="20"/>
          <w:szCs w:val="20"/>
        </w:rPr>
        <w:t xml:space="preserve"> </w:t>
      </w:r>
      <w:r w:rsidRPr="000A0AA3">
        <w:rPr>
          <w:rFonts w:ascii="Geometr706 Md TL" w:hAnsi="Geometr706 Md TL"/>
          <w:sz w:val="20"/>
          <w:szCs w:val="20"/>
        </w:rPr>
        <w:t>organizējot seminārus komersantiem un sniedzot e-pasta un telefona konsultācijas.</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PTAC cenu uzraudzības projektu uzsāka 2013. gada augustā, sākotnēji veicot informatīvas pārbaudes, lai palīdzētu komersantiem savlaicīgi sagatavoties jaunajām prasībām. Kopš 2013. gada 1. oktobra PTAC sadarbībā ar Patērētāju interešu aizstāvības asociāciju veica 11 533 pārbaudes. Tika konstatēti 4493 pārkāpumi: lielākās problēmas bija saistītas ar nepareizu cenu konvertāciju vai cenu nenorādīšanu divās valūtās (pēdējais vairāk saistīts ar pakalpojumu nozari).</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Papildus PTAC sadarbojās ar Pārtikas un veterināro dienestu (PVD) un VID, kas arī savu pārbaužu ietvaros pārbaudīja cenu paralēlo atspoguļošanu, bet Konkurences padome savas kompetences ietvaros vērtēja preču un pakalpojumu cenu noteikšanu.</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2013. gadā tika veiktas 633 informatīvās pārbaudes un sniegtas 250 konsultācijas gan e-pastā, gan telefoniski.</w:t>
      </w:r>
    </w:p>
    <w:p w:rsidR="000A0AA3" w:rsidRDefault="000A0AA3">
      <w:pPr>
        <w:rPr>
          <w:rFonts w:ascii="Geometr706 Md TL" w:eastAsiaTheme="majorEastAsia" w:hAnsi="Geometr706 Md TL" w:cstheme="majorBidi"/>
          <w:b/>
          <w:bCs/>
          <w:color w:val="4F81BD" w:themeColor="accent1"/>
          <w:sz w:val="20"/>
          <w:szCs w:val="20"/>
        </w:rPr>
      </w:pPr>
      <w:bookmarkStart w:id="45" w:name="_2.3.3._Informācijas_apmaiņa"/>
      <w:bookmarkStart w:id="46" w:name="_Toc380143876"/>
      <w:bookmarkStart w:id="47" w:name="_Toc380147116"/>
      <w:bookmarkEnd w:id="45"/>
    </w:p>
    <w:p w:rsidR="00256E7F" w:rsidRPr="000A0AA3" w:rsidRDefault="00256E7F" w:rsidP="000A0AA3">
      <w:pPr>
        <w:pStyle w:val="Heading3"/>
        <w:spacing w:after="240"/>
        <w:jc w:val="both"/>
        <w:rPr>
          <w:rFonts w:ascii="Geometr706 Md TL" w:hAnsi="Geometr706 Md TL"/>
        </w:rPr>
      </w:pPr>
      <w:bookmarkStart w:id="48" w:name="_Toc392836101"/>
      <w:r w:rsidRPr="000A0AA3">
        <w:rPr>
          <w:rFonts w:ascii="Geometr706 Md TL" w:hAnsi="Geometr706 Md TL"/>
        </w:rPr>
        <w:t>2.3.3. Informācijas apmaiņa par bīstamām precēm (</w:t>
      </w:r>
      <w:r w:rsidRPr="000A0AA3">
        <w:rPr>
          <w:rFonts w:ascii="Geometr706 Md TL" w:hAnsi="Geometr706 Md TL"/>
          <w:i/>
        </w:rPr>
        <w:t>RAPEX</w:t>
      </w:r>
      <w:r w:rsidRPr="000A0AA3">
        <w:rPr>
          <w:rFonts w:ascii="Geometr706 Md TL" w:hAnsi="Geometr706 Md TL"/>
        </w:rPr>
        <w:t>)</w:t>
      </w:r>
      <w:bookmarkEnd w:id="46"/>
      <w:bookmarkEnd w:id="47"/>
      <w:bookmarkEnd w:id="48"/>
    </w:p>
    <w:p w:rsidR="00256E7F" w:rsidRPr="000A0AA3" w:rsidRDefault="00256E7F" w:rsidP="000A0AA3">
      <w:pPr>
        <w:spacing w:line="240" w:lineRule="auto"/>
        <w:ind w:right="41" w:firstLine="720"/>
        <w:jc w:val="both"/>
        <w:rPr>
          <w:rFonts w:ascii="Geometr706 Md TL" w:hAnsi="Geometr706 Md TL"/>
          <w:sz w:val="20"/>
          <w:szCs w:val="20"/>
        </w:rPr>
      </w:pPr>
      <w:r w:rsidRPr="000A0AA3">
        <w:rPr>
          <w:rFonts w:ascii="Geometr706 Md TL" w:hAnsi="Geometr706 Md TL"/>
          <w:sz w:val="20"/>
          <w:szCs w:val="20"/>
        </w:rPr>
        <w:t xml:space="preserve">Lai nepieļautu, ka patērētāja rīcībā nonāk preces, kas rada nopietnu risku viņa veselībai un drošumam, starp EK un dalībvalstīm ir izveidota Ātrās informācijas apmaiņas sistēma par nepārtikas preču un pakalpojumu drošumu </w:t>
      </w:r>
      <w:r w:rsidRPr="000A0AA3">
        <w:rPr>
          <w:rFonts w:ascii="Geometr706 Md TL" w:hAnsi="Geometr706 Md TL"/>
          <w:i/>
          <w:sz w:val="20"/>
          <w:szCs w:val="20"/>
        </w:rPr>
        <w:t>RAPEX</w:t>
      </w:r>
      <w:r w:rsidRPr="000A0AA3">
        <w:rPr>
          <w:rFonts w:ascii="Geometr706 Md TL" w:hAnsi="Geometr706 Md TL"/>
          <w:sz w:val="20"/>
          <w:szCs w:val="20"/>
        </w:rPr>
        <w:t xml:space="preserve">. 2013. gadā PTAC </w:t>
      </w:r>
      <w:r w:rsidRPr="000A0AA3">
        <w:rPr>
          <w:rFonts w:ascii="Geometr706 Md TL" w:hAnsi="Geometr706 Md TL"/>
          <w:i/>
          <w:sz w:val="20"/>
          <w:szCs w:val="20"/>
        </w:rPr>
        <w:t>RAPEX</w:t>
      </w:r>
      <w:r w:rsidRPr="000A0AA3">
        <w:rPr>
          <w:rFonts w:ascii="Geometr706 Md TL" w:hAnsi="Geometr706 Md TL"/>
          <w:sz w:val="20"/>
          <w:szCs w:val="20"/>
        </w:rPr>
        <w:t xml:space="preserve"> sistēmā ir iesniedzis 33 ziņojumus par Latvijā atklātām nedrošajām precēm:</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6 ziņojumi par precēm, kas rada nopietnu risku: 1 lāzers; 2 rotaļlietas; 1 bērnu augstā gulta; 2 </w:t>
      </w:r>
      <w:r w:rsidRPr="000A0AA3">
        <w:rPr>
          <w:rFonts w:ascii="Geometr706 Md TL" w:hAnsi="Geometr706 Md TL"/>
          <w:i/>
          <w:sz w:val="20"/>
          <w:szCs w:val="20"/>
        </w:rPr>
        <w:t>LED</w:t>
      </w:r>
      <w:r w:rsidRPr="000A0AA3">
        <w:rPr>
          <w:rFonts w:ascii="Geometr706 Md TL" w:hAnsi="Geometr706 Md TL"/>
          <w:sz w:val="20"/>
          <w:szCs w:val="20"/>
        </w:rPr>
        <w:t xml:space="preserve"> lampas;</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10 ziņojumus par precēm, kas rada risku, zemāku par nopietnu: 5 – par nedrošām rotaļlietām; 4 – par nedrošām elektroprecēm (t. sk. 2 </w:t>
      </w:r>
      <w:r w:rsidRPr="000A0AA3">
        <w:rPr>
          <w:rFonts w:ascii="Geometr706 Md TL" w:hAnsi="Geometr706 Md TL"/>
          <w:i/>
          <w:sz w:val="20"/>
          <w:szCs w:val="20"/>
        </w:rPr>
        <w:t>LED</w:t>
      </w:r>
      <w:r w:rsidRPr="000A0AA3">
        <w:rPr>
          <w:rFonts w:ascii="Geometr706 Md TL" w:hAnsi="Geometr706 Md TL"/>
          <w:sz w:val="20"/>
          <w:szCs w:val="20"/>
        </w:rPr>
        <w:t xml:space="preserve"> lampas); 1 – par IAL;</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17 ziņojumus kategorijā „Informācijai” (prece, par kuru paziņojumā nav iekļauta visa citām dalībvalstīm vajadzīgā preces identificēšanas informācija, piemēram, ražotājs, artikula numurs): 2 rotaļlietas; 1 augstā bērnu gulta; 12 lāzeri.</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Ir iesniegti 5 reakcijas ziņojumi par citas ES dalībvalsts paziņotām nedrošajām Latvijas tirgū atklātajām precēm (2 rotaļlietas, 1 tekstilizstrād</w:t>
      </w:r>
      <w:r w:rsidR="000A0AA3">
        <w:rPr>
          <w:rFonts w:ascii="Geometr706 Md TL" w:hAnsi="Geometr706 Md TL"/>
          <w:sz w:val="20"/>
          <w:szCs w:val="20"/>
        </w:rPr>
        <w:t>ājums, 2 augstās bērnu gultas).</w:t>
      </w:r>
    </w:p>
    <w:p w:rsidR="00256E7F" w:rsidRPr="000A0AA3" w:rsidRDefault="00256E7F" w:rsidP="00FB7347">
      <w:pPr>
        <w:jc w:val="both"/>
        <w:rPr>
          <w:rFonts w:ascii="Geometr706 Md TL" w:hAnsi="Geometr706 Md TL"/>
          <w:b/>
          <w:sz w:val="20"/>
          <w:szCs w:val="20"/>
        </w:rPr>
      </w:pPr>
      <w:r w:rsidRPr="000A0AA3">
        <w:rPr>
          <w:rFonts w:ascii="Geometr706 Md TL" w:hAnsi="Geometr706 Md TL"/>
          <w:b/>
          <w:sz w:val="20"/>
          <w:szCs w:val="20"/>
        </w:rPr>
        <w:t>Preču kontrole uz robežas</w:t>
      </w:r>
    </w:p>
    <w:p w:rsidR="00256E7F" w:rsidRPr="000A0AA3" w:rsidRDefault="00256E7F" w:rsidP="00FB7347">
      <w:pPr>
        <w:spacing w:line="240" w:lineRule="auto"/>
        <w:ind w:firstLine="720"/>
        <w:jc w:val="both"/>
        <w:rPr>
          <w:rFonts w:ascii="Geometr706 Md TL" w:hAnsi="Geometr706 Md TL"/>
          <w:sz w:val="20"/>
          <w:szCs w:val="20"/>
        </w:rPr>
      </w:pPr>
      <w:r w:rsidRPr="000A0AA3">
        <w:rPr>
          <w:rFonts w:ascii="Geometr706 Md TL" w:hAnsi="Geometr706 Md TL"/>
          <w:sz w:val="20"/>
          <w:szCs w:val="20"/>
        </w:rPr>
        <w:t>PTAC sadarbībā ar VID Muitas pārvaldi veicis preču kontroli uz robežas, pārbaudot 1136 preču modeļu atbilstību normatīvo aktu prasībām. 858 modeļiem ir konstatētas neatbilstības, atkārtoti izvērtējot 316 modeļu atbilstību, tika atļauta to laišana brīvā apgrozībā Latvijā.</w:t>
      </w:r>
    </w:p>
    <w:p w:rsidR="00256E7F" w:rsidRPr="000A0AA3" w:rsidRDefault="00256E7F" w:rsidP="00FB7347">
      <w:pPr>
        <w:spacing w:line="240" w:lineRule="auto"/>
        <w:ind w:firstLine="720"/>
        <w:jc w:val="both"/>
        <w:rPr>
          <w:rFonts w:ascii="Geometr706 Md TL" w:hAnsi="Geometr706 Md TL"/>
          <w:sz w:val="20"/>
          <w:szCs w:val="20"/>
        </w:rPr>
      </w:pPr>
      <w:r w:rsidRPr="000A0AA3">
        <w:rPr>
          <w:rFonts w:ascii="Geometr706 Md TL" w:hAnsi="Geometr706 Md TL"/>
          <w:sz w:val="20"/>
          <w:szCs w:val="20"/>
        </w:rPr>
        <w:lastRenderedPageBreak/>
        <w:t>PTAC 2013. gadā uz robežas veica 504 elektropreču, 264 rotaļlietu, 251 IAL un 62 būvizstrādājumu modeļu kontroli. Pirmoreiz izvērtējot preci un atbilstības dokumentāciju, PTAC konstatēja, ka 79 % elektropreču, 87 % rotaļlietu, 69 % IAL un 34 % būvizstrādājumu neatbilda prasībām.</w:t>
      </w:r>
    </w:p>
    <w:p w:rsidR="00256E7F" w:rsidRPr="000A0AA3" w:rsidRDefault="00256E7F" w:rsidP="00FB7347">
      <w:pPr>
        <w:spacing w:line="240" w:lineRule="auto"/>
        <w:ind w:firstLine="720"/>
        <w:jc w:val="both"/>
        <w:rPr>
          <w:rFonts w:ascii="Geometr706 Md TL" w:hAnsi="Geometr706 Md TL"/>
          <w:sz w:val="20"/>
          <w:szCs w:val="20"/>
        </w:rPr>
      </w:pPr>
      <w:r w:rsidRPr="000A0AA3">
        <w:rPr>
          <w:rFonts w:ascii="Geometr706 Md TL" w:hAnsi="Geometr706 Md TL"/>
          <w:sz w:val="20"/>
          <w:szCs w:val="20"/>
        </w:rPr>
        <w:t>Papildus administratīvajām pārbaudēm PTAC veica uz robežas izņemto preču paraugu ekspertīzi:</w:t>
      </w:r>
    </w:p>
    <w:p w:rsidR="00256E7F" w:rsidRPr="000A0AA3" w:rsidRDefault="00256E7F" w:rsidP="00FB7347">
      <w:pPr>
        <w:pStyle w:val="ListParagraph"/>
        <w:widowControl/>
        <w:numPr>
          <w:ilvl w:val="0"/>
          <w:numId w:val="18"/>
        </w:numPr>
        <w:adjustRightInd/>
        <w:spacing w:line="240" w:lineRule="auto"/>
        <w:textAlignment w:val="auto"/>
        <w:rPr>
          <w:rFonts w:ascii="Geometr706 Md TL" w:hAnsi="Geometr706 Md TL"/>
          <w:sz w:val="20"/>
          <w:szCs w:val="20"/>
          <w:lang w:eastAsia="en-US"/>
        </w:rPr>
      </w:pPr>
      <w:r w:rsidRPr="000A0AA3">
        <w:rPr>
          <w:rFonts w:ascii="Geometr706 Md TL" w:hAnsi="Geometr706 Md TL"/>
          <w:sz w:val="20"/>
          <w:szCs w:val="20"/>
          <w:lang w:eastAsia="en-US"/>
        </w:rPr>
        <w:t>28 modeļiem no 43 elektropreču paraugiem tika konstatētas neatbilstības būtiskajām prasībām;</w:t>
      </w:r>
    </w:p>
    <w:p w:rsidR="00256E7F" w:rsidRPr="000A0AA3" w:rsidRDefault="00256E7F" w:rsidP="00FB7347">
      <w:pPr>
        <w:pStyle w:val="ListParagraph"/>
        <w:widowControl/>
        <w:numPr>
          <w:ilvl w:val="0"/>
          <w:numId w:val="18"/>
        </w:numPr>
        <w:adjustRightInd/>
        <w:spacing w:line="240" w:lineRule="auto"/>
        <w:textAlignment w:val="auto"/>
        <w:rPr>
          <w:rFonts w:ascii="Geometr706 Md TL" w:hAnsi="Geometr706 Md TL"/>
          <w:sz w:val="20"/>
          <w:szCs w:val="20"/>
          <w:lang w:eastAsia="en-US"/>
        </w:rPr>
      </w:pPr>
      <w:r w:rsidRPr="000A0AA3">
        <w:rPr>
          <w:rFonts w:ascii="Geometr706 Md TL" w:hAnsi="Geometr706 Md TL"/>
          <w:sz w:val="20"/>
          <w:szCs w:val="20"/>
          <w:lang w:eastAsia="en-US"/>
        </w:rPr>
        <w:t>2 modeļi no 6 rotaļlietu paraugiem neatbilda drošuma prasībām;</w:t>
      </w:r>
    </w:p>
    <w:p w:rsidR="00256E7F" w:rsidRPr="000A0AA3" w:rsidRDefault="00256E7F" w:rsidP="00FB7347">
      <w:pPr>
        <w:pStyle w:val="ListParagraph"/>
        <w:widowControl/>
        <w:numPr>
          <w:ilvl w:val="0"/>
          <w:numId w:val="18"/>
        </w:numPr>
        <w:adjustRightInd/>
        <w:spacing w:line="240" w:lineRule="auto"/>
        <w:textAlignment w:val="auto"/>
        <w:rPr>
          <w:rFonts w:ascii="Geometr706 Md TL" w:hAnsi="Geometr706 Md TL"/>
          <w:sz w:val="20"/>
          <w:szCs w:val="20"/>
          <w:lang w:eastAsia="en-US"/>
        </w:rPr>
      </w:pPr>
      <w:r w:rsidRPr="000A0AA3">
        <w:rPr>
          <w:rFonts w:ascii="Geometr706 Md TL" w:hAnsi="Geometr706 Md TL"/>
          <w:sz w:val="20"/>
          <w:szCs w:val="20"/>
          <w:lang w:eastAsia="en-US"/>
        </w:rPr>
        <w:t>visi 5 ķiveru modeļi atbilda būtiskajām prasībām.</w:t>
      </w:r>
    </w:p>
    <w:p w:rsidR="00256E7F" w:rsidRPr="00256E7F" w:rsidRDefault="00256E7F" w:rsidP="00256E7F">
      <w:pPr>
        <w:spacing w:line="240" w:lineRule="auto"/>
        <w:ind w:firstLine="720"/>
        <w:rPr>
          <w:rFonts w:ascii="Geometr706 Md TL" w:hAnsi="Geometr706 Md TL"/>
        </w:rPr>
      </w:pPr>
    </w:p>
    <w:p w:rsidR="00256E7F" w:rsidRPr="00256E7F" w:rsidRDefault="00256E7F" w:rsidP="000A0AA3">
      <w:pPr>
        <w:pStyle w:val="Heading3"/>
        <w:spacing w:after="240"/>
        <w:jc w:val="center"/>
        <w:rPr>
          <w:rFonts w:ascii="Geometr706 Md TL" w:hAnsi="Geometr706 Md TL"/>
        </w:rPr>
      </w:pPr>
      <w:bookmarkStart w:id="49" w:name="_2.3.4._Valsts_metroloģiskā"/>
      <w:bookmarkStart w:id="50" w:name="_Toc380143877"/>
      <w:bookmarkStart w:id="51" w:name="_Toc380147117"/>
      <w:bookmarkStart w:id="52" w:name="_Toc392836102"/>
      <w:bookmarkEnd w:id="49"/>
      <w:r w:rsidRPr="00256E7F">
        <w:rPr>
          <w:rFonts w:ascii="Geometr706 Md TL" w:hAnsi="Geometr706 Md TL"/>
        </w:rPr>
        <w:t>2.3.4. Valsts metroloģiskā uzraudzība</w:t>
      </w:r>
      <w:bookmarkEnd w:id="50"/>
      <w:bookmarkEnd w:id="51"/>
      <w:bookmarkEnd w:id="52"/>
    </w:p>
    <w:p w:rsidR="00256E7F" w:rsidRPr="000A0AA3" w:rsidRDefault="00256E7F" w:rsidP="000A0AA3">
      <w:pPr>
        <w:pStyle w:val="Default"/>
        <w:ind w:right="41" w:firstLine="720"/>
        <w:jc w:val="both"/>
        <w:rPr>
          <w:rFonts w:ascii="Geometr706 Md TL" w:hAnsi="Geometr706 Md TL"/>
          <w:sz w:val="20"/>
          <w:szCs w:val="20"/>
        </w:rPr>
      </w:pPr>
      <w:r w:rsidRPr="000A0AA3">
        <w:rPr>
          <w:rFonts w:ascii="Geometr706 Md TL" w:hAnsi="Geometr706 Md TL"/>
          <w:sz w:val="20"/>
          <w:szCs w:val="20"/>
        </w:rPr>
        <w:t>PTAC kontrolē likumā „Par mērījumu vienotību” noteikto prasību ievērošanu reglamentētās metroloģijas jomā, veicot:</w:t>
      </w:r>
    </w:p>
    <w:p w:rsidR="00256E7F" w:rsidRPr="000A0AA3" w:rsidRDefault="00256E7F" w:rsidP="000A0AA3">
      <w:pPr>
        <w:pStyle w:val="Default"/>
        <w:numPr>
          <w:ilvl w:val="0"/>
          <w:numId w:val="25"/>
        </w:numPr>
        <w:ind w:right="41"/>
        <w:jc w:val="both"/>
        <w:rPr>
          <w:rFonts w:ascii="Geometr706 Md TL" w:hAnsi="Geometr706 Md TL"/>
          <w:sz w:val="20"/>
          <w:szCs w:val="20"/>
        </w:rPr>
      </w:pPr>
      <w:r w:rsidRPr="000A0AA3">
        <w:rPr>
          <w:rFonts w:ascii="Geometr706 Md TL" w:hAnsi="Geometr706 Md TL"/>
          <w:sz w:val="20"/>
          <w:szCs w:val="20"/>
        </w:rPr>
        <w:t>mērīšanas līdzekļu tirgus uzraudzību, kurus ievieto tirgū lietošanai reglamentētajā jomā;</w:t>
      </w:r>
    </w:p>
    <w:p w:rsidR="00256E7F" w:rsidRPr="000A0AA3" w:rsidRDefault="00256E7F" w:rsidP="000A0AA3">
      <w:pPr>
        <w:pStyle w:val="Default"/>
        <w:numPr>
          <w:ilvl w:val="0"/>
          <w:numId w:val="25"/>
        </w:numPr>
        <w:ind w:right="41"/>
        <w:jc w:val="both"/>
        <w:rPr>
          <w:rFonts w:ascii="Geometr706 Md TL" w:hAnsi="Geometr706 Md TL"/>
          <w:sz w:val="20"/>
          <w:szCs w:val="20"/>
        </w:rPr>
      </w:pPr>
      <w:r w:rsidRPr="000A0AA3">
        <w:rPr>
          <w:rFonts w:ascii="Geometr706 Md TL" w:hAnsi="Geometr706 Md TL"/>
          <w:sz w:val="20"/>
          <w:szCs w:val="20"/>
        </w:rPr>
        <w:t>lietošanā nodoto mērīšanas līdzekļu valsts metroloģisko uzraudzību tautsaimniecības jomās atbilstoši likuma „Par mērījumu vienotību” 7. pantam;</w:t>
      </w:r>
    </w:p>
    <w:p w:rsidR="00256E7F" w:rsidRPr="000A0AA3" w:rsidRDefault="00256E7F" w:rsidP="000A0AA3">
      <w:pPr>
        <w:pStyle w:val="Default"/>
        <w:numPr>
          <w:ilvl w:val="0"/>
          <w:numId w:val="25"/>
        </w:numPr>
        <w:ind w:right="41"/>
        <w:jc w:val="both"/>
        <w:rPr>
          <w:rFonts w:ascii="Geometr706 Md TL" w:hAnsi="Geometr706 Md TL"/>
          <w:sz w:val="20"/>
          <w:szCs w:val="20"/>
        </w:rPr>
      </w:pPr>
      <w:r w:rsidRPr="000A0AA3">
        <w:rPr>
          <w:rFonts w:ascii="Geometr706 Md TL" w:hAnsi="Geometr706 Md TL"/>
          <w:sz w:val="20"/>
          <w:szCs w:val="20"/>
        </w:rPr>
        <w:t>fasēto preču metroloģisko kontroli to ražošanas un realizēšanas vietās;</w:t>
      </w:r>
    </w:p>
    <w:p w:rsidR="00256E7F" w:rsidRDefault="00256E7F" w:rsidP="00FB7347">
      <w:pPr>
        <w:pStyle w:val="Default"/>
        <w:numPr>
          <w:ilvl w:val="0"/>
          <w:numId w:val="25"/>
        </w:numPr>
        <w:ind w:right="40"/>
        <w:jc w:val="both"/>
        <w:rPr>
          <w:rFonts w:ascii="Geometr706 Md TL" w:hAnsi="Geometr706 Md TL"/>
          <w:sz w:val="20"/>
          <w:szCs w:val="20"/>
        </w:rPr>
      </w:pPr>
      <w:r w:rsidRPr="000A0AA3">
        <w:rPr>
          <w:rFonts w:ascii="Geometr706 Md TL" w:hAnsi="Geometr706 Md TL"/>
          <w:sz w:val="20"/>
          <w:szCs w:val="20"/>
        </w:rPr>
        <w:t>informācijas apkopošanu par inspicēšanas institūciju verificētajiem mērīšanas līdzekļiem.</w:t>
      </w:r>
    </w:p>
    <w:p w:rsidR="00FB7347" w:rsidRPr="00FB7347" w:rsidRDefault="00FB7347" w:rsidP="00FB7347">
      <w:pPr>
        <w:pStyle w:val="Default"/>
        <w:ind w:left="720" w:right="40"/>
        <w:jc w:val="both"/>
        <w:rPr>
          <w:rFonts w:ascii="Geometr706 Md TL" w:hAnsi="Geometr706 Md TL"/>
          <w:sz w:val="20"/>
          <w:szCs w:val="20"/>
        </w:rPr>
      </w:pP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 xml:space="preserve">Veikti metroloģiskās uzraudzības pasākumi mērīšanas līdzekļu atbilstības nodrošināšanai lietošanā: </w:t>
      </w:r>
      <w:r w:rsidRPr="000A0AA3">
        <w:rPr>
          <w:rFonts w:ascii="Geometr706 Md TL" w:hAnsi="Geometr706 Md TL"/>
          <w:b/>
          <w:sz w:val="20"/>
          <w:szCs w:val="20"/>
        </w:rPr>
        <w:t>90 uzņēmumos metroloģiskajai uzraudzībai tika pakļauti 1143 mērīšanas līdzekļi</w:t>
      </w:r>
      <w:r w:rsidRPr="000A0AA3">
        <w:rPr>
          <w:rFonts w:ascii="Geometr706 Md TL" w:hAnsi="Geometr706 Md TL"/>
          <w:sz w:val="20"/>
          <w:szCs w:val="20"/>
        </w:rPr>
        <w:t>. Uzraudzības rezultātā 22 uzņēmumos konstatēti normatīvo aktu prasību pārkāpumi un par nederīgiem lietošanai kā neatbilstoši metroloģiskajām prasībām atzīti 66 mērīšanas līdzekļi jeb 5,77 % no kopējā pārbau</w:t>
      </w:r>
      <w:r w:rsidR="000A0AA3">
        <w:rPr>
          <w:rFonts w:ascii="Geometr706 Md TL" w:hAnsi="Geometr706 Md TL"/>
          <w:sz w:val="20"/>
          <w:szCs w:val="20"/>
        </w:rPr>
        <w:t>dīto mērīšanas līdzekļu skaita.</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Neautomātiskajiem svariem tika veikti 4 metroloģiskie testi – visos gadījumos tika konstatēta maksimāli pieļaujamās kļūdas atbilstība normatīvo aktu prasībām.</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Pēc saņemtajām sūdzībām tika veikta vienas degvielas uzpildes stacijas degvielas uzpildes aparātu metroloģiskā testēšana, kā rezultātā konstatēta neatbilstība normatīvo aktu prasībām, maksimāli pieļaujamajai kļūdai pārsniedzot normatīvajos aktos noteikto kļūdu patērētājam par sliktu.</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 xml:space="preserve">Lai izvērtētu veselības aprūpē lietoto mērīšanas līdzekļu metroloģisko prasību nodrošināšanu, ir īstenots projekts </w:t>
      </w:r>
      <w:r w:rsidRPr="000A0AA3">
        <w:rPr>
          <w:rFonts w:ascii="Geometr706 Md TL" w:hAnsi="Geometr706 Md TL"/>
          <w:b/>
          <w:sz w:val="20"/>
          <w:szCs w:val="20"/>
        </w:rPr>
        <w:t>„Metroloģiskā uzraudzība veselības aprūpē lietošanā nodotajiem mērīšanas līdzekļiem”</w:t>
      </w:r>
      <w:r w:rsidRPr="000A0AA3">
        <w:rPr>
          <w:rFonts w:ascii="Geometr706 Md TL" w:hAnsi="Geometr706 Md TL"/>
          <w:sz w:val="20"/>
          <w:szCs w:val="20"/>
        </w:rPr>
        <w:t>.</w:t>
      </w:r>
      <w:r w:rsidRPr="000A0AA3">
        <w:rPr>
          <w:rFonts w:ascii="Geometr706 Md TL" w:hAnsi="Geometr706 Md TL"/>
          <w:b/>
          <w:i/>
          <w:sz w:val="20"/>
          <w:szCs w:val="20"/>
        </w:rPr>
        <w:t xml:space="preserve"> </w:t>
      </w:r>
      <w:r w:rsidRPr="000A0AA3">
        <w:rPr>
          <w:rFonts w:ascii="Geometr706 Md TL" w:hAnsi="Geometr706 Md TL"/>
          <w:sz w:val="20"/>
          <w:szCs w:val="20"/>
        </w:rPr>
        <w:t xml:space="preserve">Sadarbībā ar Veselības inspekciju metroloģiskā uzraudzība veikta kopumā 50 veselības aprūpes iestādēs visos Latvijas reģionos, t. sk. 18 veselības centros (poliklīnikās), 10 slimnīcās un 22 ģimenes ārstu praksēs. Konstatēts, ka no pārbaudītajiem mērīšanas līdzekļiem normatīvo aktu prasībām neatbilst 261 mērīšanas līdzeklis jeb 42 %, t. sk. 29 % pārbaudīto </w:t>
      </w:r>
      <w:proofErr w:type="spellStart"/>
      <w:r w:rsidRPr="000A0AA3">
        <w:rPr>
          <w:rFonts w:ascii="Geometr706 Md TL" w:hAnsi="Geometr706 Md TL"/>
          <w:sz w:val="20"/>
          <w:szCs w:val="20"/>
        </w:rPr>
        <w:t>sfigmomanometru</w:t>
      </w:r>
      <w:proofErr w:type="spellEnd"/>
      <w:r w:rsidRPr="000A0AA3">
        <w:rPr>
          <w:rFonts w:ascii="Geometr706 Md TL" w:hAnsi="Geometr706 Md TL"/>
          <w:sz w:val="20"/>
          <w:szCs w:val="20"/>
        </w:rPr>
        <w:t xml:space="preserve"> un 65 % pārbaudīto neautomātisko svaru. Normatīvo aktu prasībām neatbilstoši mērīšanas līdzekļi tika konstatēti visos pārbaudītajos veselības centros, poliklīnikās un slimnīcās; savukārt ģimenes ārstu praksēs neatbilstības tika konstatētas 91 % gadījumu.</w:t>
      </w:r>
    </w:p>
    <w:p w:rsidR="00256E7F" w:rsidRPr="000A0AA3" w:rsidRDefault="00256E7F" w:rsidP="000A0AA3">
      <w:pPr>
        <w:spacing w:line="240" w:lineRule="auto"/>
        <w:ind w:firstLine="711"/>
        <w:jc w:val="both"/>
        <w:rPr>
          <w:rFonts w:ascii="Geometr706 Md TL" w:hAnsi="Geometr706 Md TL"/>
          <w:sz w:val="20"/>
          <w:szCs w:val="20"/>
        </w:rPr>
      </w:pPr>
      <w:r w:rsidRPr="000A0AA3">
        <w:rPr>
          <w:rFonts w:ascii="Geometr706 Md TL" w:hAnsi="Geometr706 Md TL"/>
          <w:sz w:val="20"/>
          <w:szCs w:val="20"/>
        </w:rPr>
        <w:t>Konstatētas šādas galvenās neatbilstības:</w:t>
      </w:r>
    </w:p>
    <w:p w:rsidR="00256E7F" w:rsidRPr="000A0AA3" w:rsidRDefault="00256E7F" w:rsidP="000A0AA3">
      <w:pPr>
        <w:numPr>
          <w:ilvl w:val="0"/>
          <w:numId w:val="23"/>
        </w:numPr>
        <w:spacing w:after="0" w:line="240" w:lineRule="auto"/>
        <w:jc w:val="both"/>
        <w:rPr>
          <w:rFonts w:ascii="Geometr706 Md TL" w:hAnsi="Geometr706 Md TL"/>
          <w:sz w:val="20"/>
          <w:szCs w:val="20"/>
        </w:rPr>
      </w:pPr>
      <w:r w:rsidRPr="000A0AA3">
        <w:rPr>
          <w:rFonts w:ascii="Geometr706 Md TL" w:hAnsi="Geometr706 Md TL"/>
          <w:sz w:val="20"/>
          <w:szCs w:val="20"/>
        </w:rPr>
        <w:t xml:space="preserve">7 mērīšanas līdzekļiem jeb 2,5 % neatbilstība bija atkārtotās verificēšanas termiņa neievērošana; </w:t>
      </w:r>
    </w:p>
    <w:p w:rsidR="00256E7F" w:rsidRPr="000A0AA3" w:rsidRDefault="00256E7F" w:rsidP="000A0AA3">
      <w:pPr>
        <w:spacing w:line="240" w:lineRule="auto"/>
        <w:jc w:val="both"/>
        <w:rPr>
          <w:rFonts w:ascii="Geometr706 Md TL" w:hAnsi="Geometr706 Md TL"/>
          <w:sz w:val="20"/>
          <w:szCs w:val="20"/>
        </w:rPr>
      </w:pPr>
      <w:r w:rsidRPr="000A0AA3">
        <w:rPr>
          <w:rFonts w:ascii="Geometr706 Md TL" w:hAnsi="Geometr706 Md TL"/>
          <w:sz w:val="20"/>
          <w:szCs w:val="20"/>
        </w:rPr>
        <w:lastRenderedPageBreak/>
        <w:t xml:space="preserve">42 mērīšanas līdzekļiem jeb 6,7 % neatbilstība bija neatbilstoši veikta metroloģiskā pārbaude (verificēšanas vietā piemērota kalibrēšanas procedūra); 212 mērīšanas līdzekļiem jeb 81,5 % neatbilstība bija mērīšanas </w:t>
      </w:r>
      <w:proofErr w:type="spellStart"/>
      <w:r w:rsidRPr="000A0AA3">
        <w:rPr>
          <w:rFonts w:ascii="Geometr706 Md TL" w:hAnsi="Geometr706 Md TL"/>
          <w:sz w:val="20"/>
          <w:szCs w:val="20"/>
        </w:rPr>
        <w:t>līdzekļanodošana</w:t>
      </w:r>
      <w:proofErr w:type="spellEnd"/>
      <w:r w:rsidRPr="000A0AA3">
        <w:rPr>
          <w:rFonts w:ascii="Geometr706 Md TL" w:hAnsi="Geometr706 Md TL"/>
          <w:sz w:val="20"/>
          <w:szCs w:val="20"/>
        </w:rPr>
        <w:t xml:space="preserve"> lietošanā bez atbilstības novērtēšanas, tādējādi  Konstatētās neatbilstības cēloņi ir lietotāju neinformētība par normatīvo aktu prasībām, līdz ar to secināms, ka mērīšanas līdzekļu iegādēs netiek pievērsta uzmanība to atbilstības apliecinājumiem </w:t>
      </w:r>
    </w:p>
    <w:p w:rsidR="00256E7F" w:rsidRPr="000A0AA3" w:rsidRDefault="00256E7F" w:rsidP="000A0AA3">
      <w:pPr>
        <w:spacing w:line="240" w:lineRule="auto"/>
        <w:ind w:firstLine="711"/>
        <w:jc w:val="both"/>
        <w:rPr>
          <w:rFonts w:ascii="Geometr706 Md TL" w:hAnsi="Geometr706 Md TL"/>
          <w:sz w:val="20"/>
          <w:szCs w:val="20"/>
        </w:rPr>
      </w:pPr>
      <w:proofErr w:type="spellStart"/>
      <w:r w:rsidRPr="000A0AA3">
        <w:rPr>
          <w:rFonts w:ascii="Geometr706 Md TL" w:hAnsi="Geometr706 Md TL"/>
          <w:sz w:val="20"/>
          <w:szCs w:val="20"/>
        </w:rPr>
        <w:t>Sfigmomanometru</w:t>
      </w:r>
      <w:proofErr w:type="spellEnd"/>
      <w:r w:rsidRPr="000A0AA3">
        <w:rPr>
          <w:rFonts w:ascii="Geometr706 Md TL" w:hAnsi="Geometr706 Md TL"/>
          <w:sz w:val="20"/>
          <w:szCs w:val="20"/>
        </w:rPr>
        <w:t xml:space="preserve"> un neautomātisko svaru neatbilstību izvērtējums apkopots. grafikā (mērīšanas līdz</w:t>
      </w:r>
      <w:r w:rsidR="000A0AA3">
        <w:rPr>
          <w:rFonts w:ascii="Geometr706 Md TL" w:hAnsi="Geometr706 Md TL"/>
          <w:sz w:val="20"/>
          <w:szCs w:val="20"/>
        </w:rPr>
        <w:t>ekļu procentuālais sadalījums).</w:t>
      </w:r>
    </w:p>
    <w:p w:rsidR="00256E7F" w:rsidRPr="00256E7F" w:rsidRDefault="00256E7F" w:rsidP="003179A2">
      <w:pPr>
        <w:spacing w:line="240" w:lineRule="auto"/>
        <w:jc w:val="center"/>
        <w:rPr>
          <w:rFonts w:ascii="Geometr706 Md TL" w:hAnsi="Geometr706 Md TL"/>
          <w:lang w:val="en-US"/>
        </w:rPr>
      </w:pPr>
      <w:r w:rsidRPr="00256E7F">
        <w:rPr>
          <w:rFonts w:ascii="Geometr706 Md TL" w:hAnsi="Geometr706 Md TL"/>
          <w:noProof/>
          <w:lang w:eastAsia="lv-LV"/>
        </w:rPr>
        <w:drawing>
          <wp:inline distT="0" distB="0" distL="0" distR="0" wp14:anchorId="382AF9DF" wp14:editId="63C0AE16">
            <wp:extent cx="4657725" cy="3048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57725" cy="3048000"/>
                    </a:xfrm>
                    <a:prstGeom prst="rect">
                      <a:avLst/>
                    </a:prstGeom>
                    <a:noFill/>
                    <a:ln>
                      <a:noFill/>
                    </a:ln>
                  </pic:spPr>
                </pic:pic>
              </a:graphicData>
            </a:graphic>
          </wp:inline>
        </w:drawing>
      </w:r>
    </w:p>
    <w:p w:rsidR="00256E7F" w:rsidRPr="000A0AA3" w:rsidRDefault="00256E7F" w:rsidP="000A0AA3">
      <w:pPr>
        <w:pStyle w:val="ListParagraph"/>
        <w:spacing w:line="240" w:lineRule="auto"/>
        <w:ind w:left="0" w:firstLine="567"/>
        <w:rPr>
          <w:rFonts w:ascii="Geometr706 Md TL" w:hAnsi="Geometr706 Md TL"/>
          <w:sz w:val="20"/>
          <w:szCs w:val="20"/>
          <w:lang w:eastAsia="en-US"/>
        </w:rPr>
      </w:pPr>
      <w:r w:rsidRPr="000A0AA3">
        <w:rPr>
          <w:rFonts w:ascii="Geometr706 Md TL" w:hAnsi="Geometr706 Md TL"/>
          <w:sz w:val="20"/>
          <w:szCs w:val="20"/>
          <w:lang w:eastAsia="en-US"/>
        </w:rPr>
        <w:t>Par projekta „Metroloģiskā uzraudzība veselības aprūpē lietošanā nodotajiem mērīšanas līdzekļiem” rezultātiem informēta Veselības ministrija un Veselības inspekcija situācijas tālākai risināšanai minēto institūciju kompetences ietvaros, kā arī 2014. gadā plānots kopīgi ar Veselības inspekciju veikt tirgus uzraudzības darbības medicīnas svaru tirdzniecības (izplatīšanas) vietās, lai novērtētu svaru atbilstību normatīvo aktu metroloģiskajām prasībām,</w:t>
      </w:r>
    </w:p>
    <w:p w:rsidR="00256E7F" w:rsidRPr="000A0AA3" w:rsidRDefault="00256E7F" w:rsidP="000A0AA3">
      <w:pPr>
        <w:spacing w:line="240" w:lineRule="auto"/>
        <w:ind w:firstLine="720"/>
        <w:jc w:val="both"/>
        <w:rPr>
          <w:rFonts w:ascii="Geometr706 Md TL" w:hAnsi="Geometr706 Md TL"/>
          <w:sz w:val="20"/>
          <w:szCs w:val="20"/>
        </w:rPr>
      </w:pPr>
      <w:r w:rsidRPr="000A0AA3">
        <w:rPr>
          <w:rFonts w:ascii="Geometr706 Md TL" w:hAnsi="Geometr706 Md TL"/>
          <w:sz w:val="20"/>
          <w:szCs w:val="20"/>
        </w:rPr>
        <w:t xml:space="preserve">Laikā no 2013. gada 14. novembra līdz 13. decembrim tika īstenots projekts </w:t>
      </w:r>
      <w:r w:rsidRPr="000A0AA3">
        <w:rPr>
          <w:rFonts w:ascii="Geometr706 Md TL" w:hAnsi="Geometr706 Md TL"/>
          <w:b/>
          <w:sz w:val="20"/>
          <w:szCs w:val="20"/>
        </w:rPr>
        <w:t>„Neautomātisko svaru ar pievienoto kases sistēmu – tirdzniecības punktu sistēmu – tirgus uzraudzība”</w:t>
      </w:r>
      <w:r w:rsidRPr="000A0AA3">
        <w:rPr>
          <w:rFonts w:ascii="Geometr706 Md TL" w:hAnsi="Geometr706 Md TL"/>
          <w:sz w:val="20"/>
          <w:szCs w:val="20"/>
        </w:rPr>
        <w:t>, kura ietvaros tika veiktas 9 tirgus uzraudzības pārbaudes pie lielākajiem kases sistēmu vairumtirgotājiem un viena ražotāja. Metroloģiskās uzraudzības laikā konstatēts, ka:</w:t>
      </w:r>
    </w:p>
    <w:p w:rsidR="00256E7F" w:rsidRPr="00FB7347" w:rsidRDefault="00256E7F" w:rsidP="000A0AA3">
      <w:pPr>
        <w:numPr>
          <w:ilvl w:val="0"/>
          <w:numId w:val="24"/>
        </w:numPr>
        <w:spacing w:after="0" w:line="240" w:lineRule="auto"/>
        <w:jc w:val="both"/>
        <w:rPr>
          <w:rFonts w:ascii="Geometr706 Md TL" w:hAnsi="Geometr706 Md TL"/>
          <w:sz w:val="20"/>
          <w:szCs w:val="20"/>
        </w:rPr>
      </w:pPr>
      <w:r w:rsidRPr="00FB7347">
        <w:rPr>
          <w:rFonts w:ascii="Geometr706 Md TL" w:hAnsi="Geometr706 Md TL"/>
          <w:sz w:val="20"/>
          <w:szCs w:val="20"/>
        </w:rPr>
        <w:t>likuma „Par mērījumu vienotību” izpratnē reglamentētajā jomā tiek piedāvātas un nodotas lietošanā kases sistēmas, kuras pievienojamas neautomātiskajiem svariem kā atsevišķi moduļi. Šo kases sistēmu metroloģiskā novērtēšana nav veikta, kā neautomātisko svaru moduļi tās nav sertificētas – nav izsniegts paziņotās institūcijas testēšanas sertifikāts saskaņā ar normatīvo aktu prasībām par neautomātisko svaru atbilstības novērtēšanu;</w:t>
      </w:r>
    </w:p>
    <w:p w:rsidR="00256E7F" w:rsidRPr="00FB7347" w:rsidRDefault="00256E7F" w:rsidP="00256E7F">
      <w:pPr>
        <w:numPr>
          <w:ilvl w:val="0"/>
          <w:numId w:val="24"/>
        </w:numPr>
        <w:spacing w:after="0" w:line="240" w:lineRule="auto"/>
        <w:jc w:val="both"/>
        <w:rPr>
          <w:rFonts w:ascii="Geometr706 Md TL" w:hAnsi="Geometr706 Md TL"/>
          <w:sz w:val="20"/>
          <w:szCs w:val="20"/>
        </w:rPr>
      </w:pPr>
      <w:r w:rsidRPr="00FB7347">
        <w:rPr>
          <w:rFonts w:ascii="Geometr706 Md TL" w:hAnsi="Geometr706 Md TL"/>
          <w:sz w:val="20"/>
          <w:szCs w:val="20"/>
        </w:rPr>
        <w:t>Latvijā reģistrētie importētāji, izplatītāji un ražotāji nepiedāvā sertificētas kases sistēmas (modulārā pieeja) vai neautomātiskos svarus ar integrētu kases sistēmu;</w:t>
      </w:r>
    </w:p>
    <w:p w:rsidR="00256E7F" w:rsidRPr="00FB7347" w:rsidRDefault="00256E7F" w:rsidP="00256E7F">
      <w:pPr>
        <w:numPr>
          <w:ilvl w:val="0"/>
          <w:numId w:val="24"/>
        </w:numPr>
        <w:spacing w:after="0" w:line="240" w:lineRule="auto"/>
        <w:jc w:val="both"/>
        <w:rPr>
          <w:rFonts w:ascii="Geometr706 Md TL" w:hAnsi="Geometr706 Md TL"/>
          <w:sz w:val="20"/>
          <w:szCs w:val="20"/>
        </w:rPr>
      </w:pPr>
      <w:r w:rsidRPr="00FB7347">
        <w:rPr>
          <w:rFonts w:ascii="Geometr706 Md TL" w:hAnsi="Geometr706 Md TL"/>
          <w:sz w:val="20"/>
          <w:szCs w:val="20"/>
        </w:rPr>
        <w:t>nesertificētās kases sistēmas ir iekļautas VID Kases aparātu un kases sistēmu vienotajā datubāzē, līdz ar to likuma „Par nodokļiem un nodevām” izpratnē tās ir likumīgas lietošanai norēķinu operācijās;</w:t>
      </w:r>
    </w:p>
    <w:p w:rsidR="00FB7347" w:rsidRPr="00FB7347" w:rsidRDefault="00256E7F" w:rsidP="00FB7347">
      <w:pPr>
        <w:numPr>
          <w:ilvl w:val="0"/>
          <w:numId w:val="24"/>
        </w:numPr>
        <w:spacing w:after="0" w:line="240" w:lineRule="auto"/>
        <w:jc w:val="both"/>
        <w:rPr>
          <w:rFonts w:ascii="Geometr706 Md TL" w:hAnsi="Geometr706 Md TL"/>
          <w:sz w:val="20"/>
          <w:szCs w:val="20"/>
        </w:rPr>
      </w:pPr>
      <w:r w:rsidRPr="00FB7347">
        <w:rPr>
          <w:rFonts w:ascii="Geometr706 Md TL" w:hAnsi="Geometr706 Md TL"/>
          <w:sz w:val="20"/>
          <w:szCs w:val="20"/>
        </w:rPr>
        <w:t>situācija, salīdzinot ar PTAC 2006./2007. gadā metroloģiskās uzraudzības laikā konstatēto, nav mainījusies.</w:t>
      </w:r>
    </w:p>
    <w:p w:rsidR="00FB7347" w:rsidRPr="00FB7347" w:rsidRDefault="00FB7347" w:rsidP="00FB7347">
      <w:pPr>
        <w:spacing w:after="0" w:line="240" w:lineRule="auto"/>
        <w:ind w:left="720"/>
        <w:jc w:val="both"/>
        <w:rPr>
          <w:rFonts w:ascii="Geometr706 Md TL" w:hAnsi="Geometr706 Md TL"/>
          <w:sz w:val="20"/>
          <w:szCs w:val="20"/>
        </w:rPr>
      </w:pP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lastRenderedPageBreak/>
        <w:t>Izvērtējot spēkā esošo normatīvo aktu prasības, piemērojamā standarta LVS EN 45501:1992 + AC:1993 prasības, Eiropas reglamentētās metroloģijas organizācijas izstrādātās vadlīnijas un metroloģiskās uzraudzības laikā konstatēto, secināts, ka pašlaik normatīvo aktu piemērošanai konkrētajā jomā ir formāls raksturs ar nepietiekamu teorētisko pamatojumu par svaru metroloģiskos parametrus ietekmējošajiem faktoriem un riskiem, kuru cēlonis ir kases sistēmu pievienošana neautomātiskajiem svariem. Pašreizējās situācijas risināšanai 2014. gadā PTAC izvērtēs normatīvo aktu prasības un citu ES dalībvalstu praksi par neautomātiskajiem tirdzniecības svariem pievienojamo kases sistēmu laišanu tirgū un nodošanu lietošanā.</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 xml:space="preserve">Saskaņā ar PTAC 2013. gada plānu tika veikta </w:t>
      </w:r>
      <w:r w:rsidRPr="00FB7347">
        <w:rPr>
          <w:rFonts w:ascii="Geometr706 Md TL" w:hAnsi="Geometr706 Md TL"/>
          <w:b/>
          <w:sz w:val="20"/>
          <w:szCs w:val="20"/>
        </w:rPr>
        <w:t>lietošanā nodoto</w:t>
      </w:r>
      <w:r w:rsidRPr="00FB7347">
        <w:rPr>
          <w:rFonts w:ascii="Geometr706 Md TL" w:hAnsi="Geometr706 Md TL"/>
          <w:sz w:val="20"/>
          <w:szCs w:val="20"/>
        </w:rPr>
        <w:t xml:space="preserve"> </w:t>
      </w:r>
      <w:r w:rsidRPr="00FB7347">
        <w:rPr>
          <w:rFonts w:ascii="Geometr706 Md TL" w:hAnsi="Geometr706 Md TL"/>
          <w:b/>
          <w:sz w:val="20"/>
          <w:szCs w:val="20"/>
        </w:rPr>
        <w:t>neautomātisko svaru metroloģiskā uzraudzība starptautiskajā lidostā „Rīga”</w:t>
      </w:r>
      <w:r w:rsidRPr="00FB7347">
        <w:rPr>
          <w:rFonts w:ascii="Geometr706 Md TL" w:hAnsi="Geometr706 Md TL"/>
          <w:sz w:val="20"/>
          <w:szCs w:val="20"/>
        </w:rPr>
        <w:t>. Uzraudzībā tika konstatēts, ka lidostas reģistrācijas sektorā pie reģistrācijas galdiem uzstādītie neautomātiskie reģistrācijas svari (kopā 30 gab.) ir nodoti lietošanā bez pēdējā atbilstības novērtēšanas posma – EK verificēšanas procedūras, līdz ar to svari neatbilst spēkā esošo normatīvo aktu prasībām un nav iespējams veikt turpmāku to verificēšanu, lai nodrošinātu mērīšanas līdzekļu rādījumu kļūdas izvērtēšanu atbilstoši noteiktajām precizitātes prasībām. Reizi gadā tiek veikta šo svaru kalibrēšana, ko veic akreditēta kalibrēšanas laboratorija; papildus lidostā ir noteiktas iekšējās procedūras svaru rādījumu kontrolei: vienu reizi mēnesī svari tiek pārbaudīti ar M1 precizitātes klases atsvariem. Metroloģiskās uzraudzības laikā tika konstatēts arī, ka reģistrācijas sektorā blakus reģistrācijas svariem atrodas normatīvo aktu prasībām atbilstoši un periodiski verificēti neautomātiskie svari, kuri domstarpību gadījumā tiek izmantoti bagāžas pārsvēršanai. Uzņēmumam PTAC uzdeva izvērtēt situāciju un iespējas nodrošināt lidostu ar normatīvo aktu prasībām atbilstošiem neautomātiskajiem svariem bagāžas svēršanai. Lidosta „Rīga” ir sniegusi informāciju, ka konstatēto neatbilstību novēršanai plāno pakāpeniski iegādāties jaunus III precizitātes klases neautomātiskos svarus, nomainot pašlaik lietošanā esošos  svaru</w:t>
      </w:r>
      <w:r w:rsidR="00FB7347">
        <w:rPr>
          <w:rFonts w:ascii="Geometr706 Md TL" w:hAnsi="Geometr706 Md TL"/>
          <w:sz w:val="20"/>
          <w:szCs w:val="20"/>
        </w:rPr>
        <w:t xml:space="preserve">s līdz 2016.gadam. </w:t>
      </w:r>
    </w:p>
    <w:p w:rsidR="00256E7F" w:rsidRPr="00FB7347" w:rsidRDefault="00256E7F" w:rsidP="00FB7347">
      <w:pPr>
        <w:spacing w:line="240" w:lineRule="auto"/>
        <w:jc w:val="both"/>
        <w:rPr>
          <w:rFonts w:ascii="Geometr706 Md TL" w:hAnsi="Geometr706 Md TL"/>
          <w:b/>
          <w:sz w:val="20"/>
          <w:szCs w:val="20"/>
        </w:rPr>
      </w:pPr>
      <w:r w:rsidRPr="00FB7347">
        <w:rPr>
          <w:rFonts w:ascii="Geometr706 Md TL" w:hAnsi="Geometr706 Md TL"/>
          <w:b/>
          <w:sz w:val="20"/>
          <w:szCs w:val="20"/>
        </w:rPr>
        <w:t>Pārskats par inspicēšanas institūciju verificētajiem mērīšanas līdzekļiem</w:t>
      </w:r>
    </w:p>
    <w:p w:rsidR="00256E7F" w:rsidRPr="00FB7347" w:rsidRDefault="00256E7F" w:rsidP="00FB7347">
      <w:pPr>
        <w:spacing w:line="240" w:lineRule="auto"/>
        <w:ind w:firstLine="720"/>
        <w:jc w:val="both"/>
        <w:rPr>
          <w:rFonts w:ascii="Geometr706 Md TL" w:hAnsi="Geometr706 Md TL"/>
          <w:b/>
          <w:sz w:val="20"/>
          <w:szCs w:val="20"/>
        </w:rPr>
      </w:pPr>
      <w:r w:rsidRPr="00FB7347">
        <w:rPr>
          <w:rFonts w:ascii="Geometr706 Md TL" w:hAnsi="Geometr706 Md TL"/>
          <w:sz w:val="20"/>
          <w:szCs w:val="20"/>
        </w:rPr>
        <w:t>No inspicēšanas institūcijām saņemtā informācija attiecībā uz to veiktajām verificēšanas darbībām tiek regulāri apkopota reizi ceturksnī.</w:t>
      </w:r>
    </w:p>
    <w:p w:rsidR="00256E7F" w:rsidRPr="00FB7347" w:rsidRDefault="00256E7F" w:rsidP="00FB7347">
      <w:pPr>
        <w:pStyle w:val="ListParagraph"/>
        <w:spacing w:line="240" w:lineRule="auto"/>
        <w:ind w:left="0" w:firstLine="567"/>
        <w:rPr>
          <w:rFonts w:ascii="Geometr706 Md TL" w:hAnsi="Geometr706 Md TL"/>
          <w:sz w:val="20"/>
          <w:szCs w:val="20"/>
        </w:rPr>
      </w:pPr>
      <w:r w:rsidRPr="00FB7347">
        <w:rPr>
          <w:rFonts w:ascii="Geometr706 Md TL" w:hAnsi="Geometr706 Md TL"/>
          <w:sz w:val="20"/>
          <w:szCs w:val="20"/>
        </w:rPr>
        <w:t xml:space="preserve">Sagatavots pārskats par „Inspicēšanas institūciju verificētajiem mērīšanas līdzekļiem 2013. gadā”, konstatējot, ka: </w:t>
      </w:r>
      <w:r w:rsidRPr="00FB7347">
        <w:rPr>
          <w:rFonts w:ascii="Geometr706 Md TL" w:hAnsi="Geometr706 Md TL"/>
          <w:sz w:val="20"/>
          <w:szCs w:val="20"/>
        </w:rPr>
        <w:tab/>
        <w:t xml:space="preserve"> </w:t>
      </w:r>
    </w:p>
    <w:p w:rsidR="00256E7F" w:rsidRPr="00FB7347" w:rsidRDefault="00256E7F" w:rsidP="00FB7347">
      <w:pPr>
        <w:pStyle w:val="ListParagraph"/>
        <w:spacing w:line="240" w:lineRule="auto"/>
        <w:ind w:left="851" w:hanging="284"/>
        <w:rPr>
          <w:rFonts w:ascii="Geometr706 Md TL" w:hAnsi="Geometr706 Md TL"/>
          <w:sz w:val="20"/>
          <w:szCs w:val="20"/>
        </w:rPr>
      </w:pPr>
      <w:r w:rsidRPr="00FB7347">
        <w:rPr>
          <w:rFonts w:ascii="Geometr706 Md TL" w:hAnsi="Geometr706 Md TL"/>
          <w:sz w:val="20"/>
          <w:szCs w:val="20"/>
        </w:rPr>
        <w:t>-</w:t>
      </w:r>
      <w:r w:rsidRPr="00FB7347">
        <w:rPr>
          <w:rFonts w:ascii="Geometr706 Md TL" w:hAnsi="Geometr706 Md TL"/>
          <w:sz w:val="20"/>
          <w:szCs w:val="20"/>
        </w:rPr>
        <w:tab/>
        <w:t>atkārtoti verificēti 311 942 mērīšanas līdzekļi, no kuriem par nederīgiem atzīti 20 163 jeb 6,5% mērīšanas līdzekļi,</w:t>
      </w:r>
    </w:p>
    <w:p w:rsidR="00FB7347" w:rsidRDefault="00256E7F" w:rsidP="00FB7347">
      <w:pPr>
        <w:pStyle w:val="ListParagraph"/>
        <w:spacing w:line="240" w:lineRule="auto"/>
        <w:ind w:left="851" w:hanging="284"/>
        <w:rPr>
          <w:rFonts w:ascii="Geometr706 Md TL" w:hAnsi="Geometr706 Md TL"/>
          <w:sz w:val="20"/>
          <w:szCs w:val="20"/>
        </w:rPr>
      </w:pPr>
      <w:r w:rsidRPr="00FB7347">
        <w:rPr>
          <w:rFonts w:ascii="Geometr706 Md TL" w:hAnsi="Geometr706 Md TL"/>
          <w:sz w:val="20"/>
          <w:szCs w:val="20"/>
        </w:rPr>
        <w:t>-</w:t>
      </w:r>
      <w:r w:rsidRPr="00FB7347">
        <w:rPr>
          <w:rFonts w:ascii="Geometr706 Md TL" w:hAnsi="Geometr706 Md TL"/>
          <w:sz w:val="20"/>
          <w:szCs w:val="20"/>
        </w:rPr>
        <w:tab/>
        <w:t>pirmreizēji verificēti 44 972 mērīšanas līdzekļi, no kuriem par nederīgiem atzīti 1</w:t>
      </w:r>
      <w:r w:rsidR="00FB7347">
        <w:rPr>
          <w:rFonts w:ascii="Geometr706 Md TL" w:hAnsi="Geometr706 Md TL"/>
          <w:sz w:val="20"/>
          <w:szCs w:val="20"/>
        </w:rPr>
        <w:t>12 jeb 0,2% mērīšanas līdzekļi.</w:t>
      </w:r>
    </w:p>
    <w:p w:rsidR="00FB7347" w:rsidRPr="00FB7347" w:rsidRDefault="00FB7347" w:rsidP="00FB7347">
      <w:pPr>
        <w:pStyle w:val="ListParagraph"/>
        <w:spacing w:line="240" w:lineRule="auto"/>
        <w:ind w:left="851" w:hanging="284"/>
        <w:rPr>
          <w:rFonts w:ascii="Geometr706 Md TL" w:hAnsi="Geometr706 Md TL"/>
          <w:sz w:val="20"/>
          <w:szCs w:val="20"/>
        </w:rPr>
      </w:pPr>
    </w:p>
    <w:p w:rsidR="00256E7F" w:rsidRPr="00FB7347" w:rsidRDefault="00FB7347" w:rsidP="00FB7347">
      <w:pPr>
        <w:spacing w:line="240" w:lineRule="auto"/>
        <w:jc w:val="both"/>
        <w:rPr>
          <w:rFonts w:ascii="Geometr706 Md TL" w:hAnsi="Geometr706 Md TL"/>
          <w:b/>
          <w:sz w:val="20"/>
          <w:szCs w:val="20"/>
        </w:rPr>
      </w:pPr>
      <w:r w:rsidRPr="00FB7347">
        <w:rPr>
          <w:rFonts w:ascii="Geometr706 Md TL" w:hAnsi="Geometr706 Md TL"/>
          <w:b/>
          <w:sz w:val="20"/>
          <w:szCs w:val="20"/>
        </w:rPr>
        <w:t>Fasēto preču kontrole uzņēmumos</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Saskaņā ar ES un nacionālo normatīvo aktu prasībām fasēto preču jomā un to metroloģiskās kontroles kārtību ražotājs preču atbilstību var apliecināt, tām uzliekot atbilstības e zīmi (lietošana ir brīvprātīga). Atbilstības e zīmes esamība vai neesamība neietekmē preču brīvu kustību tirgū, tomēr tā kalpo par ražotāja garantiju atbilstībai. Minēto preču kontroles mehānisms ES dalībvalstīs ir atšķirīgs, tas var ietvert vienlaikus gan obligātās e zīmes atzīšanas procedūras, gan arī tirgus uzraudzības pasākumus vai arī izmantot vienu no minētajiem kontroles veidiem. Attiecīgajos Latvijas normatīvajos aktos ir paredzēta tikai fasēto preču tirgus uzraudzība, līdz ar to PTAC atbildība ir nodrošināt efektīvu kontroli ražotāju un importētāju uzņēmumos, kuri pirmo reizi ar e zīmi marķētās fasētās preces izplata ES tirgū.</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 xml:space="preserve">Tā kā Latvijā tiek importēts ievērojams parfimērijas un kosmētikas preču daudzums (tostarp no Krievijas un citām bijušajām PSRS valstīm, kā arī no Turcijas un Indijas) un pēdējo gadu laikā ir ievērojami pieaudzis vietējo ražotāju skaits, pārskata periodā realizēts fasēto preču metroloģiskās uzraudzības projekts </w:t>
      </w:r>
      <w:r w:rsidRPr="00FB7347">
        <w:rPr>
          <w:rFonts w:ascii="Geometr706 Md TL" w:hAnsi="Geometr706 Md TL"/>
          <w:b/>
          <w:sz w:val="20"/>
          <w:szCs w:val="20"/>
        </w:rPr>
        <w:t xml:space="preserve">parfimērijas un </w:t>
      </w:r>
      <w:r w:rsidRPr="00FB7347">
        <w:rPr>
          <w:rFonts w:ascii="Geometr706 Md TL" w:hAnsi="Geometr706 Md TL"/>
          <w:b/>
          <w:sz w:val="20"/>
          <w:szCs w:val="20"/>
        </w:rPr>
        <w:lastRenderedPageBreak/>
        <w:t>kosmētikas preču</w:t>
      </w:r>
      <w:r w:rsidRPr="00FB7347">
        <w:rPr>
          <w:rFonts w:ascii="Geometr706 Md TL" w:hAnsi="Geometr706 Md TL"/>
          <w:sz w:val="20"/>
          <w:szCs w:val="20"/>
        </w:rPr>
        <w:t xml:space="preserve"> segmentā, prioritāri kontrolei izvēloties preces ar e zīmes marķējumu.</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Projekta ietvaros veiktas 38 pārbaudes, t. sk.:</w:t>
      </w:r>
    </w:p>
    <w:p w:rsidR="00256E7F" w:rsidRPr="00FB7347" w:rsidRDefault="00256E7F" w:rsidP="00FB7347">
      <w:pPr>
        <w:spacing w:line="240" w:lineRule="auto"/>
        <w:jc w:val="both"/>
        <w:rPr>
          <w:rFonts w:ascii="Geometr706 Md TL" w:hAnsi="Geometr706 Md TL"/>
          <w:sz w:val="20"/>
          <w:szCs w:val="20"/>
        </w:rPr>
      </w:pPr>
      <w:r w:rsidRPr="00FB7347">
        <w:rPr>
          <w:rFonts w:ascii="Geometr706 Md TL" w:hAnsi="Geometr706 Md TL"/>
          <w:b/>
          <w:i/>
          <w:sz w:val="20"/>
          <w:szCs w:val="20"/>
          <w:u w:val="single"/>
        </w:rPr>
        <w:t>Pamatpārbaudes </w:t>
      </w:r>
      <w:r w:rsidRPr="00FB7347">
        <w:rPr>
          <w:rFonts w:ascii="Geometr706 Md TL" w:hAnsi="Geometr706 Md TL"/>
          <w:b/>
          <w:sz w:val="20"/>
          <w:szCs w:val="20"/>
          <w:u w:val="single"/>
        </w:rPr>
        <w:t>–</w:t>
      </w:r>
      <w:r w:rsidRPr="00FB7347">
        <w:rPr>
          <w:rFonts w:ascii="Geometr706 Md TL" w:hAnsi="Geometr706 Md TL"/>
          <w:b/>
          <w:i/>
          <w:sz w:val="20"/>
          <w:szCs w:val="20"/>
          <w:u w:val="single"/>
        </w:rPr>
        <w:t xml:space="preserve"> 26 uzņēmumos</w:t>
      </w:r>
      <w:r w:rsidRPr="00FB7347">
        <w:rPr>
          <w:rFonts w:ascii="Geometr706 Md TL" w:hAnsi="Geometr706 Md TL"/>
          <w:sz w:val="20"/>
          <w:szCs w:val="20"/>
        </w:rPr>
        <w:t>: veikta fasēto preču kontrole 20 ražošanas un 6 vairumtirdzniecības uzņēmumos, izvēloties uzņēmumus, kuri izplata tirgū trešo valstu preces. Pārbaudītajos uzņēmumos veikti statistiskās kontroles testi un pārbaudīta marķējuma atbilstība normatīvo aktu prasībām pavisam 181 fasēto preču partijai.</w:t>
      </w:r>
    </w:p>
    <w:p w:rsidR="00256E7F" w:rsidRPr="00FB7347" w:rsidRDefault="00256E7F" w:rsidP="00FB7347">
      <w:pPr>
        <w:spacing w:line="240" w:lineRule="auto"/>
        <w:jc w:val="both"/>
        <w:rPr>
          <w:rFonts w:ascii="Geometr706 Md TL" w:hAnsi="Geometr706 Md TL"/>
          <w:sz w:val="20"/>
          <w:szCs w:val="20"/>
        </w:rPr>
      </w:pPr>
      <w:r w:rsidRPr="00FB7347">
        <w:rPr>
          <w:rFonts w:ascii="Geometr706 Md TL" w:hAnsi="Geometr706 Md TL"/>
          <w:sz w:val="20"/>
          <w:szCs w:val="20"/>
        </w:rPr>
        <w:tab/>
      </w:r>
      <w:r w:rsidRPr="00FB7347">
        <w:rPr>
          <w:rFonts w:ascii="Geometr706 Md TL" w:hAnsi="Geometr706 Md TL"/>
          <w:i/>
          <w:sz w:val="20"/>
          <w:szCs w:val="20"/>
        </w:rPr>
        <w:t>Preču satura faktiskā daudzuma pārbaužu rezultāti</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Normatīvo aktu prasību pārkāpumi attiecībā uz fasēto preču satura faktisko daudzumu konstatēti:</w:t>
      </w:r>
    </w:p>
    <w:p w:rsidR="00256E7F" w:rsidRPr="00FB7347" w:rsidRDefault="00256E7F" w:rsidP="00FB7347">
      <w:pPr>
        <w:numPr>
          <w:ilvl w:val="0"/>
          <w:numId w:val="21"/>
        </w:numPr>
        <w:tabs>
          <w:tab w:val="num" w:pos="284"/>
        </w:tabs>
        <w:spacing w:after="0" w:line="240" w:lineRule="auto"/>
        <w:ind w:left="284" w:hanging="284"/>
        <w:jc w:val="both"/>
        <w:rPr>
          <w:rFonts w:ascii="Geometr706 Md TL" w:hAnsi="Geometr706 Md TL"/>
          <w:sz w:val="20"/>
          <w:szCs w:val="20"/>
        </w:rPr>
      </w:pPr>
      <w:r w:rsidRPr="00FB7347">
        <w:rPr>
          <w:rFonts w:ascii="Geometr706 Md TL" w:hAnsi="Geometr706 Md TL"/>
          <w:sz w:val="20"/>
          <w:szCs w:val="20"/>
        </w:rPr>
        <w:t>8 no 20 pārbaudītajos fasēto preču ražošanas uzņēmumos 16 fasēto preču partijām (13,7 % no ražošanas vietās pārbaudītajām 117 partijām);</w:t>
      </w:r>
    </w:p>
    <w:p w:rsidR="00256E7F" w:rsidRPr="00FB7347" w:rsidRDefault="00256E7F" w:rsidP="00FB7347">
      <w:pPr>
        <w:numPr>
          <w:ilvl w:val="0"/>
          <w:numId w:val="21"/>
        </w:numPr>
        <w:tabs>
          <w:tab w:val="num" w:pos="284"/>
        </w:tabs>
        <w:spacing w:after="0" w:line="240" w:lineRule="auto"/>
        <w:ind w:left="284" w:hanging="284"/>
        <w:jc w:val="both"/>
        <w:rPr>
          <w:rFonts w:ascii="Geometr706 Md TL" w:hAnsi="Geometr706 Md TL"/>
          <w:sz w:val="20"/>
          <w:szCs w:val="20"/>
        </w:rPr>
      </w:pPr>
      <w:r w:rsidRPr="00FB7347">
        <w:rPr>
          <w:rFonts w:ascii="Geometr706 Md TL" w:hAnsi="Geometr706 Md TL"/>
          <w:sz w:val="20"/>
          <w:szCs w:val="20"/>
        </w:rPr>
        <w:t>6 pārbaudītajos preču vairumtirdzniecības uzņēmumos 14 fasēto preču partijām (21,9 % no vairumtirdzniecības vietās pārbaudītajām 64 partijām).</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Lielākā daļa neatbilstību (21 gadījumā vai 70 % no konstatēto neatbilstošo fasēto preču partiju skaita) ir saistītas ar fasēto preču partiju satura faktiskās masas vai tilpuma vidējās vērtības novirzēm no marķējumā norādītās nominālās vērtības, atsevišķām fasējuma vienībām nepārsniedzot pieļaujamo negatīvo noviržu (turpmāk – PNN) robežas.</w:t>
      </w:r>
    </w:p>
    <w:p w:rsidR="00256E7F" w:rsidRPr="00FB7347" w:rsidRDefault="00256E7F" w:rsidP="00FB7347">
      <w:pPr>
        <w:spacing w:line="240" w:lineRule="auto"/>
        <w:jc w:val="both"/>
        <w:rPr>
          <w:rFonts w:ascii="Geometr706 Md TL" w:hAnsi="Geometr706 Md TL"/>
          <w:sz w:val="20"/>
          <w:szCs w:val="20"/>
        </w:rPr>
      </w:pPr>
      <w:r w:rsidRPr="00FB7347">
        <w:rPr>
          <w:rFonts w:ascii="Geometr706 Md TL" w:hAnsi="Geometr706 Md TL"/>
          <w:sz w:val="20"/>
          <w:szCs w:val="20"/>
        </w:rPr>
        <w:tab/>
        <w:t>Būtiskas neatbilstības, kad atsevišķu fasēto preču vienību faktiskā masa vai tilpums pārsniedz PNN robežas un satura faktiskajam daudzumam ir lielas novirzes no marķējumā norādītās nominālās vērtības, konstatētas 9 gadījumos, kā rezultātā 9 fasēto preču partiju realizācija tika apturēt</w:t>
      </w:r>
      <w:r w:rsidR="00FB7347">
        <w:rPr>
          <w:rFonts w:ascii="Geometr706 Md TL" w:hAnsi="Geometr706 Md TL"/>
          <w:sz w:val="20"/>
          <w:szCs w:val="20"/>
        </w:rPr>
        <w:t>a līdz neatbilstību novēršanai.</w:t>
      </w:r>
    </w:p>
    <w:p w:rsidR="00256E7F" w:rsidRPr="00FB7347" w:rsidRDefault="00256E7F" w:rsidP="00256E7F">
      <w:pPr>
        <w:spacing w:line="240" w:lineRule="auto"/>
        <w:rPr>
          <w:rFonts w:ascii="Geometr706 Md TL" w:hAnsi="Geometr706 Md TL"/>
          <w:b/>
          <w:sz w:val="20"/>
          <w:szCs w:val="20"/>
          <w:u w:val="single"/>
        </w:rPr>
      </w:pPr>
      <w:r w:rsidRPr="00FB7347">
        <w:rPr>
          <w:rFonts w:ascii="Geometr706 Md TL" w:hAnsi="Geometr706 Md TL"/>
          <w:b/>
          <w:i/>
          <w:sz w:val="20"/>
          <w:szCs w:val="20"/>
          <w:u w:val="single"/>
        </w:rPr>
        <w:t>Atkārtotās pārbaudes</w:t>
      </w:r>
      <w:r w:rsidRPr="00FB7347">
        <w:rPr>
          <w:rFonts w:ascii="Geometr706 Md TL" w:hAnsi="Geometr706 Md TL"/>
          <w:i/>
          <w:sz w:val="20"/>
          <w:szCs w:val="20"/>
        </w:rPr>
        <w:t>:</w:t>
      </w:r>
    </w:p>
    <w:p w:rsidR="00256E7F" w:rsidRPr="00FB7347" w:rsidRDefault="00256E7F" w:rsidP="00256E7F">
      <w:pPr>
        <w:numPr>
          <w:ilvl w:val="0"/>
          <w:numId w:val="20"/>
        </w:numPr>
        <w:spacing w:after="0" w:line="240" w:lineRule="auto"/>
        <w:ind w:left="284" w:hanging="284"/>
        <w:jc w:val="both"/>
        <w:rPr>
          <w:rFonts w:ascii="Geometr706 Md TL" w:hAnsi="Geometr706 Md TL"/>
          <w:sz w:val="20"/>
          <w:szCs w:val="20"/>
        </w:rPr>
      </w:pPr>
      <w:r w:rsidRPr="00FB7347">
        <w:rPr>
          <w:rFonts w:ascii="Geometr706 Md TL" w:hAnsi="Geometr706 Md TL"/>
          <w:sz w:val="20"/>
          <w:szCs w:val="20"/>
        </w:rPr>
        <w:t>veiktas 5 atkārtotas pārbaudes 4 parfimērijas un kosmētikas ražošanas uzņēmumos, kuros konstatēts risks ražot un izplatīt normatīvajām prasībām neatbilstošas fasētās preces. Šajos uzņēmumos pārbaudītas 12 fasēto preču partijas, no kurām 1 partija neatbilda prasībām satura faktiskā daudzuma vidējās vērtības ziņā. Konstatēts, ka šī neatbilstība radusies, ražošanas kontroles procesā neievērojot fasētā produkta faktisko blīvumu, kas ir būtisks faktors viskozu produktu (konkrētā gadījumā – ķermeņa jogurta) ražošanā. Minētajā uzņēmumā pārskata periodā veikta vēl viena atkārtotā pārbaude, kuras rezultāti liecina, ka, ieviešot sistemātisku fasējamo produktu blīvuma kontroli, neatbilstības ir novērstas;</w:t>
      </w:r>
    </w:p>
    <w:p w:rsidR="00FB7347" w:rsidRDefault="00256E7F" w:rsidP="00FB7347">
      <w:pPr>
        <w:numPr>
          <w:ilvl w:val="0"/>
          <w:numId w:val="20"/>
        </w:numPr>
        <w:spacing w:after="0" w:line="240" w:lineRule="auto"/>
        <w:ind w:left="284" w:hanging="284"/>
        <w:jc w:val="both"/>
        <w:rPr>
          <w:rFonts w:ascii="Geometr706 Md TL" w:hAnsi="Geometr706 Md TL"/>
          <w:sz w:val="20"/>
          <w:szCs w:val="20"/>
        </w:rPr>
      </w:pPr>
      <w:r w:rsidRPr="00FB7347">
        <w:rPr>
          <w:rFonts w:ascii="Geometr706 Md TL" w:hAnsi="Geometr706 Md TL"/>
          <w:sz w:val="20"/>
          <w:szCs w:val="20"/>
        </w:rPr>
        <w:t>veiktas 7 atkārtotas pārbaudes vairumtirdzniecības uzņēmumos, pārbaudītas 12 preču partijas, t. sk. 3 atkārtoti vērtētas partijas, kuru realizācija pamatpārbaužu laikā tika apturēta līdz neatbilstību novēršanai. Minētās partijas atbilda pieņemšanas kritērijiem, un tās tika atļauts realizēt. 5 partijas no pārbaudīto skaita neatbilda satura faktiskā daudzuma vidējās vērtības prasībām.</w:t>
      </w:r>
    </w:p>
    <w:p w:rsidR="00FB7347" w:rsidRPr="00FB7347" w:rsidRDefault="00FB7347" w:rsidP="00FB7347">
      <w:pPr>
        <w:spacing w:after="0" w:line="240" w:lineRule="auto"/>
        <w:ind w:left="284"/>
        <w:jc w:val="both"/>
        <w:rPr>
          <w:rFonts w:ascii="Geometr706 Md TL" w:hAnsi="Geometr706 Md TL"/>
          <w:sz w:val="20"/>
          <w:szCs w:val="20"/>
        </w:rPr>
      </w:pPr>
    </w:p>
    <w:p w:rsidR="00256E7F" w:rsidRPr="003179A2" w:rsidRDefault="00256E7F" w:rsidP="00FB7347">
      <w:pPr>
        <w:spacing w:line="240" w:lineRule="auto"/>
        <w:ind w:firstLine="709"/>
        <w:jc w:val="both"/>
        <w:rPr>
          <w:rFonts w:ascii="Geometr706 Md TL" w:hAnsi="Geometr706 Md TL"/>
          <w:sz w:val="20"/>
          <w:szCs w:val="20"/>
        </w:rPr>
      </w:pPr>
      <w:r w:rsidRPr="003179A2">
        <w:rPr>
          <w:rFonts w:ascii="Geometr706 Md TL" w:hAnsi="Geometr706 Md TL"/>
          <w:sz w:val="20"/>
          <w:szCs w:val="20"/>
        </w:rPr>
        <w:t>Vairumtirdzniecības uzņēmumu atkārtoto pārbaužu rezultāti liecina, ka tajos netiek ieviesta efektīva piedāvāto preču satura faktiskā daudzuma. Tā kā ir stājušies spēkā MK 2013. gada 12. novembra noteikumi Nr. 1278 „Metroloģiskās prasības fasētajām precēm un to kontroles kārtība” (turpmāk – noteikumi Nr. 1278), kuros noteiktas stingrākas prasības fasēto preču importētājiem un izplatītājiem, turpmāk šiem uzņēmumiem būs jāpievērš pastiprināta uzmanība realizējamo preču iekšējai kontrolei.</w:t>
      </w:r>
    </w:p>
    <w:p w:rsidR="003179A2" w:rsidRDefault="00256E7F" w:rsidP="00FB7347">
      <w:pPr>
        <w:spacing w:line="240" w:lineRule="auto"/>
        <w:jc w:val="both"/>
        <w:rPr>
          <w:rFonts w:ascii="Geometr706 Md TL" w:hAnsi="Geometr706 Md TL"/>
          <w:i/>
          <w:sz w:val="20"/>
          <w:szCs w:val="20"/>
        </w:rPr>
      </w:pPr>
      <w:r w:rsidRPr="003179A2">
        <w:rPr>
          <w:rFonts w:ascii="Geometr706 Md TL" w:hAnsi="Geometr706 Md TL"/>
          <w:i/>
          <w:sz w:val="20"/>
          <w:szCs w:val="20"/>
        </w:rPr>
        <w:tab/>
      </w:r>
    </w:p>
    <w:p w:rsidR="003179A2" w:rsidRDefault="003179A2">
      <w:pPr>
        <w:rPr>
          <w:rFonts w:ascii="Geometr706 Md TL" w:hAnsi="Geometr706 Md TL"/>
          <w:i/>
          <w:sz w:val="20"/>
          <w:szCs w:val="20"/>
        </w:rPr>
      </w:pPr>
      <w:r>
        <w:rPr>
          <w:rFonts w:ascii="Geometr706 Md TL" w:hAnsi="Geometr706 Md TL"/>
          <w:i/>
          <w:sz w:val="20"/>
          <w:szCs w:val="20"/>
        </w:rPr>
        <w:br w:type="page"/>
      </w:r>
    </w:p>
    <w:p w:rsidR="00256E7F" w:rsidRPr="003179A2" w:rsidRDefault="00256E7F" w:rsidP="00FB7347">
      <w:pPr>
        <w:spacing w:line="240" w:lineRule="auto"/>
        <w:jc w:val="both"/>
        <w:rPr>
          <w:rFonts w:ascii="Geometr706 Md TL" w:hAnsi="Geometr706 Md TL"/>
          <w:b/>
          <w:i/>
          <w:sz w:val="20"/>
          <w:szCs w:val="20"/>
        </w:rPr>
      </w:pPr>
      <w:r w:rsidRPr="003179A2">
        <w:rPr>
          <w:rFonts w:ascii="Geometr706 Md TL" w:hAnsi="Geometr706 Md TL"/>
          <w:b/>
          <w:i/>
          <w:sz w:val="20"/>
          <w:szCs w:val="20"/>
        </w:rPr>
        <w:lastRenderedPageBreak/>
        <w:t>Preču marķējuma atbilstības pārbaužu rezultāti</w:t>
      </w:r>
    </w:p>
    <w:p w:rsidR="00256E7F" w:rsidRPr="003179A2" w:rsidRDefault="00256E7F" w:rsidP="00FB7347">
      <w:pPr>
        <w:spacing w:line="240" w:lineRule="auto"/>
        <w:jc w:val="both"/>
        <w:rPr>
          <w:rFonts w:ascii="Geometr706 Md TL" w:hAnsi="Geometr706 Md TL"/>
          <w:sz w:val="20"/>
          <w:szCs w:val="20"/>
        </w:rPr>
      </w:pPr>
      <w:r w:rsidRPr="003179A2">
        <w:rPr>
          <w:rFonts w:ascii="Geometr706 Md TL" w:hAnsi="Geometr706 Md TL"/>
          <w:i/>
          <w:sz w:val="20"/>
          <w:szCs w:val="20"/>
        </w:rPr>
        <w:tab/>
      </w:r>
      <w:r w:rsidRPr="003179A2">
        <w:rPr>
          <w:rFonts w:ascii="Geometr706 Md TL" w:hAnsi="Geometr706 Md TL"/>
          <w:sz w:val="20"/>
          <w:szCs w:val="20"/>
        </w:rPr>
        <w:t>Visām kontrolētajām fasēto preču partijām (kopā 216 partiju) tika pārbaudīta satura nominālā daudzuma norādes marķējuma atbilstība. Neatbilstošs marķējums (normatīvo aktu prasībām neatbilstoši nominālā daudzuma apzīmējumi, ciparu atzīmju izmēri, atbilstības e zīmes augstums, mērvienību apzīmējumi) konstatēts 55 fasēto preču partijām jeb 25,5 % no kopējā pārbaudīto partiju skaita, t. sk. no 84 kontrolēto fasēto preču partiju ar atbilstības e zīmes marķējumu neatbilstošs marķējums konstatēts 26 fasēto preču partijām jeb 31 %. Minēto pārkāpumu novēršanai PTAC norādījis termiņus, ievērojot uzņēmumu tehniskās un finansiālās iespējas, pasūtot jaunas marķējuma etiķetes.</w:t>
      </w:r>
    </w:p>
    <w:p w:rsidR="00256E7F" w:rsidRPr="003179A2" w:rsidRDefault="00256E7F" w:rsidP="00FB7347">
      <w:pPr>
        <w:spacing w:line="240" w:lineRule="auto"/>
        <w:jc w:val="both"/>
        <w:rPr>
          <w:rFonts w:ascii="Geometr706 Md TL" w:hAnsi="Geometr706 Md TL"/>
          <w:sz w:val="20"/>
          <w:szCs w:val="20"/>
        </w:rPr>
      </w:pPr>
      <w:r w:rsidRPr="003179A2">
        <w:rPr>
          <w:rFonts w:ascii="Geometr706 Md TL" w:hAnsi="Geometr706 Md TL"/>
          <w:sz w:val="20"/>
          <w:szCs w:val="20"/>
        </w:rPr>
        <w:tab/>
        <w:t xml:space="preserve">Pārskata periodā veiktas </w:t>
      </w:r>
      <w:r w:rsidRPr="003179A2">
        <w:rPr>
          <w:rFonts w:ascii="Geometr706 Md TL" w:hAnsi="Geometr706 Md TL"/>
          <w:i/>
          <w:sz w:val="20"/>
          <w:szCs w:val="20"/>
        </w:rPr>
        <w:t>uzraudzības darbības, reaģējot uz patērētāju sūdzībām</w:t>
      </w:r>
      <w:r w:rsidRPr="003179A2">
        <w:rPr>
          <w:rFonts w:ascii="Geometr706 Md TL" w:hAnsi="Geometr706 Md TL"/>
          <w:sz w:val="20"/>
          <w:szCs w:val="20"/>
        </w:rPr>
        <w:t>: 2 ražošanas uzņēmumos veikti statistiskās kontroles testi 11 fasēto preču partijām, neatbilstības konstatētas 2 gadījumos (2 miltu izstrādājumu veidi – satura daudzuma vidējās vērtības novirze).</w:t>
      </w:r>
    </w:p>
    <w:p w:rsidR="00256E7F" w:rsidRPr="00256E7F" w:rsidRDefault="00256E7F" w:rsidP="00FB7347">
      <w:pPr>
        <w:pStyle w:val="Heading3"/>
        <w:spacing w:after="240"/>
        <w:jc w:val="center"/>
        <w:rPr>
          <w:rFonts w:ascii="Geometr706 Md TL" w:hAnsi="Geometr706 Md TL"/>
        </w:rPr>
      </w:pPr>
      <w:bookmarkStart w:id="53" w:name="_2.3.5._Bīstamo_iekārtu"/>
      <w:bookmarkStart w:id="54" w:name="_Toc380143878"/>
      <w:bookmarkStart w:id="55" w:name="_Toc380147118"/>
      <w:bookmarkStart w:id="56" w:name="_Toc392836103"/>
      <w:bookmarkEnd w:id="53"/>
      <w:r w:rsidRPr="00256E7F">
        <w:rPr>
          <w:rFonts w:ascii="Geometr706 Md TL" w:hAnsi="Geometr706 Md TL"/>
        </w:rPr>
        <w:t>2.3.5. Bīstamo iekārtu uzraudzība</w:t>
      </w:r>
      <w:bookmarkEnd w:id="54"/>
      <w:bookmarkEnd w:id="55"/>
      <w:bookmarkEnd w:id="56"/>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Bīstamo iekārtu uzraudzības jomā veiktas 93 pārbaudes: 71 pārbaude bīstamo iekārtu lietošanas vietās un 22 pārbaudes, neveicot iekārtu fizisko kontroli (analizējot BIR datus). 71 objektā (76 % no kopējā pārbaudīto skaita) konstatēti pārkāpumi. Uzraudzības rezultātā pārbaudīta 494 iekārtu atbilstība bīstamo iekārtu tehniskās uzraudzības normatīvo aktu prasībām, pārkāpumi konstatēti 312 iekārtu lietošanā jeb 63 % no kopējā pārbaudīto skaita, t. sk.:</w:t>
      </w:r>
    </w:p>
    <w:p w:rsidR="00256E7F" w:rsidRPr="00FB7347" w:rsidRDefault="00256E7F" w:rsidP="00FB7347">
      <w:pPr>
        <w:numPr>
          <w:ilvl w:val="0"/>
          <w:numId w:val="27"/>
        </w:numPr>
        <w:tabs>
          <w:tab w:val="num" w:pos="284"/>
        </w:tabs>
        <w:spacing w:after="0" w:line="240" w:lineRule="auto"/>
        <w:ind w:left="284" w:firstLine="425"/>
        <w:jc w:val="both"/>
        <w:rPr>
          <w:rFonts w:ascii="Geometr706 Md TL" w:hAnsi="Geometr706 Md TL"/>
          <w:sz w:val="20"/>
          <w:szCs w:val="20"/>
        </w:rPr>
      </w:pPr>
      <w:r w:rsidRPr="00FB7347">
        <w:rPr>
          <w:rFonts w:ascii="Geometr706 Md TL" w:hAnsi="Geometr706 Md TL"/>
          <w:sz w:val="20"/>
          <w:szCs w:val="20"/>
        </w:rPr>
        <w:t>86 iekārtām nebija veiktas periodiskās pārbaudes;</w:t>
      </w:r>
    </w:p>
    <w:p w:rsidR="00256E7F" w:rsidRPr="00FB7347" w:rsidRDefault="00256E7F" w:rsidP="00FB7347">
      <w:pPr>
        <w:numPr>
          <w:ilvl w:val="0"/>
          <w:numId w:val="27"/>
        </w:numPr>
        <w:tabs>
          <w:tab w:val="num" w:pos="284"/>
        </w:tabs>
        <w:spacing w:after="0" w:line="240" w:lineRule="auto"/>
        <w:ind w:left="284" w:firstLine="425"/>
        <w:jc w:val="both"/>
        <w:rPr>
          <w:rFonts w:ascii="Geometr706 Md TL" w:hAnsi="Geometr706 Md TL"/>
          <w:sz w:val="20"/>
          <w:szCs w:val="20"/>
        </w:rPr>
      </w:pPr>
      <w:r w:rsidRPr="00FB7347">
        <w:rPr>
          <w:rFonts w:ascii="Geometr706 Md TL" w:hAnsi="Geometr706 Md TL"/>
          <w:sz w:val="20"/>
          <w:szCs w:val="20"/>
        </w:rPr>
        <w:t>1 iekārta nebija reģistrēta BIR;</w:t>
      </w:r>
    </w:p>
    <w:p w:rsidR="00256E7F" w:rsidRPr="00FB7347" w:rsidRDefault="00256E7F" w:rsidP="00FB7347">
      <w:pPr>
        <w:numPr>
          <w:ilvl w:val="0"/>
          <w:numId w:val="27"/>
        </w:numPr>
        <w:tabs>
          <w:tab w:val="num" w:pos="284"/>
        </w:tabs>
        <w:spacing w:after="0" w:line="240" w:lineRule="auto"/>
        <w:ind w:left="284" w:firstLine="425"/>
        <w:jc w:val="both"/>
        <w:rPr>
          <w:rFonts w:ascii="Geometr706 Md TL" w:hAnsi="Geometr706 Md TL"/>
          <w:sz w:val="20"/>
          <w:szCs w:val="20"/>
        </w:rPr>
      </w:pPr>
      <w:r w:rsidRPr="00FB7347">
        <w:rPr>
          <w:rFonts w:ascii="Geometr706 Md TL" w:hAnsi="Geometr706 Md TL"/>
          <w:sz w:val="20"/>
          <w:szCs w:val="20"/>
        </w:rPr>
        <w:t>225 iekārtām – citi pārkāpumi (pārsvarā gadījumi, kad iekārtas nebija svītrotas no BIR, kaut gan to lietošana ir pārtraukta, kā arī identificējošas informācijas neesamība).</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Veiktās uzraudzības rezultātā 17 iekārtu lietošana apturēta līdz neatbilstību novēršanai, 21 uzņēmumam par izdarītajiem pārkāpumiem uzsākta lietvedība administratīvo pārkāpumu lietā.</w:t>
      </w:r>
    </w:p>
    <w:p w:rsidR="00256E7F" w:rsidRPr="00FB7347" w:rsidRDefault="00256E7F" w:rsidP="00FB7347">
      <w:pPr>
        <w:spacing w:line="240" w:lineRule="auto"/>
        <w:ind w:firstLine="720"/>
        <w:jc w:val="both"/>
        <w:rPr>
          <w:rFonts w:ascii="Geometr706 Md TL" w:hAnsi="Geometr706 Md TL"/>
          <w:i/>
          <w:sz w:val="20"/>
          <w:szCs w:val="20"/>
        </w:rPr>
      </w:pPr>
      <w:r w:rsidRPr="00FB7347">
        <w:rPr>
          <w:rFonts w:ascii="Geometr706 Md TL" w:hAnsi="Geometr706 Md TL"/>
          <w:i/>
          <w:sz w:val="20"/>
          <w:szCs w:val="20"/>
        </w:rPr>
        <w:t>Iepriekš norādīto uzraudzības darbību ietvaros:</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 xml:space="preserve">2013. gada sākumā realizētas pārbaudes slēpotājiem paredzēto </w:t>
      </w:r>
      <w:r w:rsidRPr="00FB7347">
        <w:rPr>
          <w:rFonts w:ascii="Geometr706 Md TL" w:hAnsi="Geometr706 Md TL"/>
          <w:b/>
          <w:sz w:val="20"/>
          <w:szCs w:val="20"/>
        </w:rPr>
        <w:t>trošu ceļu uzraudzības projektā,</w:t>
      </w:r>
      <w:r w:rsidRPr="00FB7347">
        <w:rPr>
          <w:rFonts w:ascii="Geometr706 Md TL" w:hAnsi="Geometr706 Md TL"/>
          <w:sz w:val="20"/>
          <w:szCs w:val="20"/>
        </w:rPr>
        <w:t xml:space="preserve"> kurā PTAC piesaistīja kompetentu trošu ceļu ekspertu no Somijas inspicēšanas institūcijas. Veiktas pārbaudes 10 slēpošanas trasēs, konstatēts, ka ne visām iekārtām uzstādīti drošības gala slēdži, vairāki slēpotāju pacēlāji nav nodrošināti ar informatīvajām plāksnēm, ne visur vajadzīgajās vietās ir izvietotas piktogrammas vai citas brīdinājuma zīmes par pacēlāju lietošanu. Uzņēmējiem tika doti norādījumi novērst konstatētos pārkāpumus. Projekta realizācija tiks turpināta pirms nākamās slēpošanas sezonas sākuma, veicot norādījumu izpildes kontroli.</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 xml:space="preserve">Tā kā Latvijā tiek lietoti vairāk nekā 7000 liftu, no kuriem lielākā daļa ir uzstādīta iepriekšējā gadsimta 70. un 80. gados un tie konstruēti atbilstoši izgatavošanas brīdī pastāvošajam drošības līmenim, realizēts </w:t>
      </w:r>
      <w:r w:rsidRPr="00FB7347">
        <w:rPr>
          <w:rFonts w:ascii="Geometr706 Md TL" w:hAnsi="Geometr706 Md TL"/>
          <w:b/>
          <w:sz w:val="20"/>
          <w:szCs w:val="20"/>
        </w:rPr>
        <w:t xml:space="preserve">liftu uzraudzības </w:t>
      </w:r>
      <w:proofErr w:type="spellStart"/>
      <w:r w:rsidRPr="00FB7347">
        <w:rPr>
          <w:rFonts w:ascii="Geometr706 Md TL" w:hAnsi="Geometr706 Md TL"/>
          <w:b/>
          <w:sz w:val="20"/>
          <w:szCs w:val="20"/>
        </w:rPr>
        <w:t>projekts</w:t>
      </w:r>
      <w:r w:rsidRPr="00FB7347">
        <w:rPr>
          <w:rFonts w:ascii="Geometr706 Md TL" w:hAnsi="Geometr706 Md TL"/>
          <w:sz w:val="20"/>
          <w:szCs w:val="20"/>
        </w:rPr>
        <w:t>,lai</w:t>
      </w:r>
      <w:proofErr w:type="spellEnd"/>
      <w:r w:rsidRPr="00FB7347">
        <w:rPr>
          <w:rFonts w:ascii="Geometr706 Md TL" w:hAnsi="Geometr706 Md TL"/>
          <w:sz w:val="20"/>
          <w:szCs w:val="20"/>
        </w:rPr>
        <w:t xml:space="preserve"> pārliecinātos, kā tiek ievērotas piemērojamo normatīvo aktu prasības šajā bīstamo iekārtu jomā, un identificētu iespējamos liftu drošas lietošanas riskus. Projekta ietvaros sadarbībā ar 4 inspicēšanas institūcijām PTAC amatpersonas piedalījās 8 liftu kārtējās tehniskajās pārbaudēs, lai piemērošanai savā uzraudzības praksē iegūtu pieredzi un informāciju, kā identificēt liftu raksturīgākās tehniskās neatbilstības, kuras tiek konstatētas liftu tehniskajā vērtēšanā.</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 xml:space="preserve"> 2013. gada jūlijā un augustā tika veiktas liftu uzraudzības pārbaudes, izvēloties objektus, kuros 2012. un 2013. gadā veiktas pirmreizējās tehniskās pārbaudes. Projekta </w:t>
      </w:r>
      <w:r w:rsidRPr="00FB7347">
        <w:rPr>
          <w:rFonts w:ascii="Geometr706 Md TL" w:hAnsi="Geometr706 Md TL"/>
          <w:sz w:val="20"/>
          <w:szCs w:val="20"/>
        </w:rPr>
        <w:lastRenderedPageBreak/>
        <w:t>gaitā 9 objektos tika pārbaudīti 16 lifti, kuriem veikta pirmreizējā tehniskā pārbaude.  Izvērtējot iepriekš minēto liftu atbilstības deklarācijas, tajās konstatētas šādas neatbilstības:</w:t>
      </w:r>
    </w:p>
    <w:p w:rsidR="00256E7F" w:rsidRPr="00FB7347" w:rsidRDefault="00256E7F" w:rsidP="00FB7347">
      <w:pPr>
        <w:numPr>
          <w:ilvl w:val="0"/>
          <w:numId w:val="28"/>
        </w:numPr>
        <w:spacing w:after="0" w:line="240" w:lineRule="auto"/>
        <w:ind w:left="851"/>
        <w:jc w:val="both"/>
        <w:rPr>
          <w:rFonts w:ascii="Geometr706 Md TL" w:hAnsi="Geometr706 Md TL"/>
          <w:sz w:val="20"/>
          <w:szCs w:val="20"/>
        </w:rPr>
      </w:pPr>
      <w:r w:rsidRPr="00FB7347">
        <w:rPr>
          <w:rFonts w:ascii="Geometr706 Md TL" w:hAnsi="Geometr706 Md TL"/>
          <w:sz w:val="20"/>
          <w:szCs w:val="20"/>
        </w:rPr>
        <w:t>neprecīzi norādīti atbilstības sertifikātu numuri;</w:t>
      </w:r>
    </w:p>
    <w:p w:rsidR="00256E7F" w:rsidRPr="00FB7347" w:rsidRDefault="00256E7F" w:rsidP="00FB7347">
      <w:pPr>
        <w:numPr>
          <w:ilvl w:val="0"/>
          <w:numId w:val="28"/>
        </w:numPr>
        <w:spacing w:after="0" w:line="240" w:lineRule="auto"/>
        <w:ind w:left="851"/>
        <w:jc w:val="both"/>
        <w:rPr>
          <w:rFonts w:ascii="Geometr706 Md TL" w:hAnsi="Geometr706 Md TL"/>
          <w:sz w:val="20"/>
          <w:szCs w:val="20"/>
        </w:rPr>
      </w:pPr>
      <w:r w:rsidRPr="00FB7347">
        <w:rPr>
          <w:rFonts w:ascii="Geometr706 Md TL" w:hAnsi="Geometr706 Md TL"/>
          <w:sz w:val="20"/>
          <w:szCs w:val="20"/>
        </w:rPr>
        <w:t>nav atsauces uz piemērojamajiem standartiem;</w:t>
      </w:r>
    </w:p>
    <w:p w:rsidR="00256E7F" w:rsidRPr="00FB7347" w:rsidRDefault="00256E7F" w:rsidP="00FB7347">
      <w:pPr>
        <w:numPr>
          <w:ilvl w:val="0"/>
          <w:numId w:val="28"/>
        </w:numPr>
        <w:spacing w:after="0" w:line="240" w:lineRule="auto"/>
        <w:ind w:left="851"/>
        <w:jc w:val="both"/>
        <w:rPr>
          <w:rFonts w:ascii="Geometr706 Md TL" w:hAnsi="Geometr706 Md TL"/>
          <w:sz w:val="20"/>
          <w:szCs w:val="20"/>
        </w:rPr>
      </w:pPr>
      <w:r w:rsidRPr="00FB7347">
        <w:rPr>
          <w:rFonts w:ascii="Geometr706 Md TL" w:hAnsi="Geometr706 Md TL"/>
          <w:sz w:val="20"/>
          <w:szCs w:val="20"/>
        </w:rPr>
        <w:t>nav norādīta paziņotās institūcijas adrese;</w:t>
      </w:r>
    </w:p>
    <w:p w:rsidR="00256E7F" w:rsidRPr="00FB7347" w:rsidRDefault="00256E7F" w:rsidP="00FB7347">
      <w:pPr>
        <w:numPr>
          <w:ilvl w:val="0"/>
          <w:numId w:val="28"/>
        </w:numPr>
        <w:spacing w:after="0" w:line="240" w:lineRule="auto"/>
        <w:ind w:left="851"/>
        <w:jc w:val="both"/>
        <w:rPr>
          <w:rFonts w:ascii="Geometr706 Md TL" w:hAnsi="Geometr706 Md TL"/>
          <w:sz w:val="20"/>
          <w:szCs w:val="20"/>
        </w:rPr>
      </w:pPr>
      <w:r w:rsidRPr="00FB7347">
        <w:rPr>
          <w:rFonts w:ascii="Geometr706 Md TL" w:hAnsi="Geometr706 Md TL"/>
          <w:sz w:val="20"/>
          <w:szCs w:val="20"/>
        </w:rPr>
        <w:t>nav norādīts vai ir neprecīzi norādīts izsniegšanas datums.</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Par minētajām neatbilstībām informētas attiecīgās inspicēšanas institūcijas, kuras veikušas liftu sertifikāciju un  pirmreizējo tehnisko pārbaudi.</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Analizējot BIR datus, veiktas 18 pārbaudes, tajā skaitā 9 uzraudzības pārbaudes, neveicot fizisku kontroli. Pārbaužu rezultātā ir konstatēts, ka 27 liftiem noteiktajā termiņā nav veiktas kārtējās tehniskās pārbaudes, kā arī konstatēti 9 gadījumi, kuros no ekspluatācijas izņemti lifti nav svītroti no BIR, kā to nosaka normatīvo aktu prasības.</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 xml:space="preserve">Realizēts </w:t>
      </w:r>
      <w:r w:rsidRPr="00FB7347">
        <w:rPr>
          <w:rFonts w:ascii="Geometr706 Md TL" w:hAnsi="Geometr706 Md TL"/>
          <w:b/>
          <w:sz w:val="20"/>
          <w:szCs w:val="20"/>
        </w:rPr>
        <w:t>kravas celtņu uzraudzības projekt</w:t>
      </w:r>
      <w:r w:rsidRPr="00FB7347">
        <w:rPr>
          <w:rFonts w:ascii="Geometr706 Md TL" w:hAnsi="Geometr706 Md TL"/>
          <w:sz w:val="20"/>
          <w:szCs w:val="20"/>
        </w:rPr>
        <w:t xml:space="preserve">s. Kravas celtņu uzraudzības projekta pirmajā posmā tika veikta celtņu pārbaude, izvēloties objektus, kuros 2012. un 2013. gadā ir veiktas pirmreizējās tehniskās pārbaudes. Projekta gaitā 6 objektos tika pārbaudīti 15 kravas celtņi, kuru pirmreizējās tehniskās pārbaudes veikušas 5 akreditētas inspicēšanas institūcijas. </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Izvērtējot pārbaudīto kravas celtņu atbilstības deklarācijas, tika konstatētas šādas neatbilstības:</w:t>
      </w:r>
    </w:p>
    <w:p w:rsidR="00256E7F" w:rsidRPr="00FB7347" w:rsidRDefault="00256E7F" w:rsidP="00FB7347">
      <w:pPr>
        <w:numPr>
          <w:ilvl w:val="0"/>
          <w:numId w:val="29"/>
        </w:numPr>
        <w:spacing w:after="0" w:line="240" w:lineRule="auto"/>
        <w:ind w:left="851" w:hanging="284"/>
        <w:jc w:val="both"/>
        <w:rPr>
          <w:rFonts w:ascii="Geometr706 Md TL" w:hAnsi="Geometr706 Md TL"/>
          <w:sz w:val="20"/>
          <w:szCs w:val="20"/>
        </w:rPr>
      </w:pPr>
      <w:r w:rsidRPr="00FB7347">
        <w:rPr>
          <w:rFonts w:ascii="Geometr706 Md TL" w:hAnsi="Geometr706 Md TL"/>
          <w:sz w:val="20"/>
          <w:szCs w:val="20"/>
        </w:rPr>
        <w:t>deklarācija nav uzrakstīta valsts valodā;</w:t>
      </w:r>
    </w:p>
    <w:p w:rsidR="00256E7F" w:rsidRPr="00FB7347" w:rsidRDefault="00256E7F" w:rsidP="00FB7347">
      <w:pPr>
        <w:numPr>
          <w:ilvl w:val="0"/>
          <w:numId w:val="29"/>
        </w:numPr>
        <w:spacing w:after="0" w:line="240" w:lineRule="auto"/>
        <w:ind w:left="851" w:hanging="284"/>
        <w:jc w:val="both"/>
        <w:rPr>
          <w:rFonts w:ascii="Geometr706 Md TL" w:hAnsi="Geometr706 Md TL"/>
          <w:sz w:val="20"/>
          <w:szCs w:val="20"/>
        </w:rPr>
      </w:pPr>
      <w:r w:rsidRPr="00FB7347">
        <w:rPr>
          <w:rFonts w:ascii="Geometr706 Md TL" w:hAnsi="Geometr706 Md TL"/>
          <w:sz w:val="20"/>
          <w:szCs w:val="20"/>
        </w:rPr>
        <w:t>nav atsauces, ka celtnis atbilst direktīvas 2006/42/EK prasībām;</w:t>
      </w:r>
    </w:p>
    <w:p w:rsidR="00256E7F" w:rsidRDefault="00256E7F" w:rsidP="00FB7347">
      <w:pPr>
        <w:numPr>
          <w:ilvl w:val="0"/>
          <w:numId w:val="29"/>
        </w:numPr>
        <w:spacing w:after="0" w:line="240" w:lineRule="auto"/>
        <w:ind w:left="851" w:hanging="284"/>
        <w:jc w:val="both"/>
        <w:rPr>
          <w:rFonts w:ascii="Geometr706 Md TL" w:hAnsi="Geometr706 Md TL"/>
          <w:sz w:val="20"/>
          <w:szCs w:val="20"/>
        </w:rPr>
      </w:pPr>
      <w:r w:rsidRPr="00FB7347">
        <w:rPr>
          <w:rFonts w:ascii="Geometr706 Md TL" w:hAnsi="Geometr706 Md TL"/>
          <w:sz w:val="20"/>
          <w:szCs w:val="20"/>
        </w:rPr>
        <w:t>deklarācija nav parakstīta.</w:t>
      </w:r>
    </w:p>
    <w:p w:rsidR="00FB7347" w:rsidRPr="00FB7347" w:rsidRDefault="00FB7347" w:rsidP="00FB7347">
      <w:pPr>
        <w:spacing w:after="0" w:line="240" w:lineRule="auto"/>
        <w:ind w:left="851"/>
        <w:jc w:val="both"/>
        <w:rPr>
          <w:rFonts w:ascii="Geometr706 Md TL" w:hAnsi="Geometr706 Md TL"/>
          <w:sz w:val="20"/>
          <w:szCs w:val="20"/>
        </w:rPr>
      </w:pP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Vienlaikus 5 no 6 minētajiem uzņēmumiem tika konstatētas neatbilstības noteikumu Nr. 113 prasībām, proti, pārbaudes laikā valdītāji nevarēja uzrādīt rīkojumu par atbilstošas kvalifikācijas speciālistu, kas ir atbildīgs par kravas celtņa tehnisko stāvokli, apliecinājumu, ka kravas celtni vada apmācīta persona, apliecinājumu, ka ir veikta celtņa operatora instruktāža, periodiskās apskates un tehniskās apkopes žurnālu. Komersanti saskaņā ar PTAC norādījumiem neatbilstības ir novērsuši.</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 xml:space="preserve">14 kravas celtņu uzraudzības pārbaudes tika veiktas, analizējot BIR datus, kurās konstatēts, ka 3 kravas celtņiem noteiktajā termiņā nav veiktas kārtējās tehniskās pārbaudes un 43 kravas celtņiem konstatētas cita rakstura neatbilstības, piemēram, celtņi netiek lietoti, bet tie nav svītroti no BIR, nav norīkots atbildīgais speciālists par celtņu tehniskā stāvokļa uzturēšanu, celtņa valdītājs nevar uzrādīt celtņa lietošanas instrukciju. 2 gadījumos par konstatētajiem pārkāpumiem </w:t>
      </w:r>
      <w:r w:rsidRPr="00FB7347">
        <w:rPr>
          <w:rFonts w:ascii="Geometr706 Md TL" w:hAnsi="Geometr706 Md TL"/>
          <w:bCs/>
          <w:sz w:val="20"/>
          <w:szCs w:val="20"/>
        </w:rPr>
        <w:t>tika</w:t>
      </w:r>
      <w:r w:rsidRPr="00FB7347">
        <w:rPr>
          <w:rFonts w:ascii="Geometr706 Md TL" w:hAnsi="Geometr706 Md TL"/>
          <w:sz w:val="20"/>
          <w:szCs w:val="20"/>
        </w:rPr>
        <w:t xml:space="preserve"> </w:t>
      </w:r>
      <w:r w:rsidRPr="00FB7347">
        <w:rPr>
          <w:rFonts w:ascii="Geometr706 Md TL" w:hAnsi="Geometr706 Md TL"/>
          <w:bCs/>
          <w:sz w:val="20"/>
          <w:szCs w:val="20"/>
        </w:rPr>
        <w:t>ierosināta administratīvā pārkāpuma lieta</w:t>
      </w:r>
      <w:r w:rsidRPr="00FB7347">
        <w:rPr>
          <w:rFonts w:ascii="Geometr706 Md TL" w:hAnsi="Geometr706 Md TL"/>
          <w:sz w:val="20"/>
          <w:szCs w:val="20"/>
        </w:rPr>
        <w:t>.</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Projekta ietvaros veiktas arī kravas celtņu uzraudzības pārbaudes 3 būvobjektos (pārbaudīti 5 celtņi), kurās konstatēts, ka:</w:t>
      </w:r>
    </w:p>
    <w:p w:rsidR="00256E7F" w:rsidRPr="00FB7347" w:rsidRDefault="00256E7F" w:rsidP="00FB7347">
      <w:pPr>
        <w:pStyle w:val="ListParagraph"/>
        <w:widowControl/>
        <w:numPr>
          <w:ilvl w:val="0"/>
          <w:numId w:val="42"/>
        </w:numPr>
        <w:adjustRightInd/>
        <w:spacing w:line="240" w:lineRule="auto"/>
        <w:textAlignment w:val="auto"/>
        <w:rPr>
          <w:rFonts w:ascii="Geometr706 Md TL" w:hAnsi="Geometr706 Md TL"/>
          <w:sz w:val="20"/>
          <w:szCs w:val="20"/>
          <w:lang w:eastAsia="en-US"/>
        </w:rPr>
      </w:pPr>
      <w:r w:rsidRPr="00FB7347">
        <w:rPr>
          <w:rFonts w:ascii="Geometr706 Md TL" w:hAnsi="Geometr706 Md TL"/>
          <w:sz w:val="20"/>
          <w:szCs w:val="20"/>
          <w:lang w:eastAsia="en-US"/>
        </w:rPr>
        <w:t>tiek lietots celtnis, kurš nav reģistrēts BIR, līdz ar to tam nav veikta pirmreizējā tehniskā pārbaude. P</w:t>
      </w:r>
      <w:r w:rsidRPr="00FB7347">
        <w:rPr>
          <w:rFonts w:ascii="Geometr706 Md TL" w:hAnsi="Geometr706 Md TL"/>
          <w:bCs/>
          <w:sz w:val="20"/>
          <w:szCs w:val="20"/>
          <w:lang w:eastAsia="en-US"/>
        </w:rPr>
        <w:t>ar šo pārkāpumu kravas celtņa valdītājam tika</w:t>
      </w:r>
      <w:r w:rsidRPr="00FB7347">
        <w:rPr>
          <w:rFonts w:ascii="Geometr706 Md TL" w:hAnsi="Geometr706 Md TL"/>
          <w:sz w:val="20"/>
          <w:szCs w:val="20"/>
          <w:lang w:eastAsia="en-US"/>
        </w:rPr>
        <w:t xml:space="preserve"> </w:t>
      </w:r>
      <w:r w:rsidRPr="00FB7347">
        <w:rPr>
          <w:rFonts w:ascii="Geometr706 Md TL" w:hAnsi="Geometr706 Md TL"/>
          <w:bCs/>
          <w:sz w:val="20"/>
          <w:szCs w:val="20"/>
          <w:lang w:eastAsia="en-US"/>
        </w:rPr>
        <w:t>ierosināta administratīvā pārkāpuma lieta</w:t>
      </w:r>
      <w:r w:rsidRPr="00FB7347">
        <w:rPr>
          <w:rFonts w:ascii="Geometr706 Md TL" w:hAnsi="Geometr706 Md TL"/>
          <w:sz w:val="20"/>
          <w:szCs w:val="20"/>
          <w:lang w:eastAsia="en-US"/>
        </w:rPr>
        <w:t>;</w:t>
      </w:r>
    </w:p>
    <w:p w:rsidR="00256E7F" w:rsidRDefault="00256E7F" w:rsidP="00FB7347">
      <w:pPr>
        <w:pStyle w:val="ListParagraph"/>
        <w:widowControl/>
        <w:numPr>
          <w:ilvl w:val="0"/>
          <w:numId w:val="42"/>
        </w:numPr>
        <w:adjustRightInd/>
        <w:spacing w:line="240" w:lineRule="auto"/>
        <w:textAlignment w:val="auto"/>
        <w:rPr>
          <w:rFonts w:ascii="Geometr706 Md TL" w:hAnsi="Geometr706 Md TL"/>
          <w:sz w:val="20"/>
          <w:szCs w:val="20"/>
          <w:lang w:eastAsia="en-US"/>
        </w:rPr>
      </w:pPr>
      <w:r w:rsidRPr="00FB7347">
        <w:rPr>
          <w:rFonts w:ascii="Geometr706 Md TL" w:hAnsi="Geometr706 Md TL"/>
          <w:sz w:val="20"/>
          <w:szCs w:val="20"/>
          <w:lang w:eastAsia="en-US"/>
        </w:rPr>
        <w:t>kravas celtņa valdītājs PTAC norādītajā termiņā nevarēja uzrādīt kravas celtņa lietošanas instrukciju,</w:t>
      </w:r>
      <w:r w:rsidRPr="00FB7347">
        <w:rPr>
          <w:rFonts w:ascii="Geometr706 Md TL" w:hAnsi="Geometr706 Md TL"/>
          <w:bCs/>
          <w:sz w:val="20"/>
          <w:szCs w:val="20"/>
          <w:lang w:eastAsia="en-US"/>
        </w:rPr>
        <w:t xml:space="preserve"> par ko valdītājam tika</w:t>
      </w:r>
      <w:r w:rsidRPr="00FB7347">
        <w:rPr>
          <w:rFonts w:ascii="Geometr706 Md TL" w:hAnsi="Geometr706 Md TL"/>
          <w:sz w:val="20"/>
          <w:szCs w:val="20"/>
          <w:lang w:eastAsia="en-US"/>
        </w:rPr>
        <w:t xml:space="preserve"> </w:t>
      </w:r>
      <w:r w:rsidRPr="00FB7347">
        <w:rPr>
          <w:rFonts w:ascii="Geometr706 Md TL" w:hAnsi="Geometr706 Md TL"/>
          <w:bCs/>
          <w:sz w:val="20"/>
          <w:szCs w:val="20"/>
          <w:lang w:eastAsia="en-US"/>
        </w:rPr>
        <w:t>ierosināta administratīvā pārkāpuma lieta</w:t>
      </w:r>
      <w:r w:rsidRPr="00FB7347">
        <w:rPr>
          <w:rFonts w:ascii="Geometr706 Md TL" w:hAnsi="Geometr706 Md TL"/>
          <w:sz w:val="20"/>
          <w:szCs w:val="20"/>
          <w:lang w:eastAsia="en-US"/>
        </w:rPr>
        <w:t>.</w:t>
      </w:r>
    </w:p>
    <w:p w:rsidR="00FB7347" w:rsidRPr="00FB7347" w:rsidRDefault="00FB7347" w:rsidP="00FB7347">
      <w:pPr>
        <w:pStyle w:val="ListParagraph"/>
        <w:widowControl/>
        <w:adjustRightInd/>
        <w:spacing w:line="240" w:lineRule="auto"/>
        <w:textAlignment w:val="auto"/>
        <w:rPr>
          <w:rFonts w:ascii="Geometr706 Md TL" w:hAnsi="Geometr706 Md TL"/>
          <w:sz w:val="20"/>
          <w:szCs w:val="20"/>
          <w:lang w:eastAsia="en-US"/>
        </w:rPr>
      </w:pPr>
    </w:p>
    <w:p w:rsidR="00FB7347" w:rsidRPr="00FB7347" w:rsidRDefault="00256E7F" w:rsidP="00FB7347">
      <w:pPr>
        <w:spacing w:line="240" w:lineRule="auto"/>
        <w:jc w:val="both"/>
        <w:rPr>
          <w:rFonts w:ascii="Geometr706 Md TL" w:hAnsi="Geometr706 Md TL"/>
          <w:sz w:val="20"/>
          <w:szCs w:val="20"/>
        </w:rPr>
      </w:pPr>
      <w:r w:rsidRPr="00FB7347">
        <w:rPr>
          <w:rFonts w:ascii="Geometr706 Md TL" w:hAnsi="Geometr706 Md TL"/>
          <w:sz w:val="20"/>
          <w:szCs w:val="20"/>
        </w:rPr>
        <w:t xml:space="preserve">PTAC atskaites periodā veica divu </w:t>
      </w:r>
      <w:r w:rsidRPr="00FB7347">
        <w:rPr>
          <w:rFonts w:ascii="Geometr706 Md TL" w:hAnsi="Geometr706 Md TL"/>
          <w:i/>
          <w:sz w:val="20"/>
          <w:szCs w:val="20"/>
        </w:rPr>
        <w:t>bīstamo iekārtu avāriju izmeklēšanu</w:t>
      </w:r>
      <w:r w:rsidR="00FB7347">
        <w:rPr>
          <w:rFonts w:ascii="Geometr706 Md TL" w:hAnsi="Geometr706 Md TL"/>
          <w:sz w:val="20"/>
          <w:szCs w:val="20"/>
        </w:rPr>
        <w:t>:</w:t>
      </w:r>
    </w:p>
    <w:p w:rsidR="00256E7F" w:rsidRPr="00FB7347" w:rsidRDefault="00256E7F" w:rsidP="00FB7347">
      <w:pPr>
        <w:spacing w:line="240" w:lineRule="auto"/>
        <w:ind w:firstLine="426"/>
        <w:jc w:val="both"/>
        <w:rPr>
          <w:rFonts w:ascii="Geometr706 Md TL" w:hAnsi="Geometr706 Md TL"/>
          <w:sz w:val="20"/>
          <w:szCs w:val="20"/>
        </w:rPr>
      </w:pPr>
      <w:bookmarkStart w:id="57" w:name="_2.3.6._Patērētāju_iesniegumu"/>
      <w:bookmarkStart w:id="58" w:name="_Toc380143879"/>
      <w:bookmarkStart w:id="59" w:name="_Toc380147119"/>
      <w:bookmarkEnd w:id="57"/>
      <w:r w:rsidRPr="00FB7347">
        <w:rPr>
          <w:rFonts w:ascii="Geometr706 Md TL" w:hAnsi="Geometr706 Md TL"/>
          <w:sz w:val="20"/>
          <w:szCs w:val="20"/>
        </w:rPr>
        <w:lastRenderedPageBreak/>
        <w:t>1) izmeklēta kravas celtņa avārija, kurā, kravas celtņa pagriešanās mehānismam atraujoties no automašīnas, nāvējošus ievainojumus guva būvobjektā esošā persona. Piesaistot akreditētas inspicēšanas institūcijas ekspertu, tika saņemts ekspertīzes slēdziens. No ekspertīzes slēdziena izriet, ka avarējušā celtņa valdītājs nav veicis celtņa periodiskās tehniskās apkopes, par ko liecina fakts, ka tehnisko apkopju žurnālā nav ierakstu un ka valdītāja rīcībā nav celtņa ražotāja izveidotās lietošanas instrukcijas, kurā norādītas veicamās periodiskās tehniskās apkopes un to biežums. Izvērtējot minētā kravas celtņa pēdējās kārtējās tehniskās pārbaudes protokolu, ir konstatēts, ka inspicēšanas institūcijas eksperts nekādas atkāpes no piemērojamo normatīvo aktu prasībām nav konstatējis un atzinis celtni par derīgu lietošanai. Savukārt standartā LVS 267:2012 „Kravas celtņi. Drošības pārbaudes to lietošanas laikā”, kuru piemērojusi inspicēšanas institūcija, veicot kārtējo kravas celtņa tehnisko pārbaudi, ir noteikts, ka kravas celtnis ir jāatzīst par lietošanai nederīgu, ja kravas celtņa valdītāja rīcībā nav ražotāja izdotās lietošanas instrukcijas, tādējādi ir secināms, ka inspicēšanas institūcija nebija tiesīga atzīt celtni par derīgu. Pēc informācijas saņemšanas no Valsts policijas par lietas tālāko virzību PTAC lems par administratīvās atbildības piemērošanu avarējušā celtņa valdītājam un inspicēšanas institūcijai, kura veikusi šī celtņa kārtējo tehnisko pārbaudi;</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2) veikta bīstamās iekārtas avārijas, kas notikusi ar cilvēku celšanai paredzēto pārvietojamo pacēlāju, izmeklēšana. Avārijas rezultātā, krītot iekārtas izlicei, cieta divi remontstrādnieki. Pēc akreditētas inspicēšanas institūcijas tehniskās ekspertīzes slēdziena ir secināms, ka laika gaitā, metālam deformējoties, tajā radušās plaisas un slodzi nav izturējusi pastiprinājuma plāksnes metinājuma vieta, kā rezultātā nokrita izlice. Metāla defektus pacēlāja kārtējās tehniskās pārbaudes ietvaros nav paredzēts noteikt, bet pārbaude veikta normatīvajos aktos noteiktajā termiņā. Avārijas izmeklēšanas rezultātā nav konstatēti bīstamo iekārtu tehniskās uzraudzības normatīvo aktu pārkāpumi, kuri būtu vērtējami kā avārijas iemesli.</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Abās notikušajās avārijās iesaistītās iekārtas bijušas ilgstošā ekspluatācijā – pacēlājs ražots 1986. gadā, kravas celtnis – 1990. gadā. Pievēršot uzmanību šim faktam, PTAC veica BIR datu analīzi un konstatēja, ka no aktīvajā lietošanā esošajiem</w:t>
      </w:r>
      <w:r w:rsidRPr="00FB7347">
        <w:rPr>
          <w:rFonts w:ascii="Geometr706 Md TL" w:hAnsi="Geometr706 Md TL"/>
          <w:i/>
          <w:sz w:val="20"/>
          <w:szCs w:val="20"/>
        </w:rPr>
        <w:t xml:space="preserve"> </w:t>
      </w:r>
      <w:r w:rsidRPr="00FB7347">
        <w:rPr>
          <w:rFonts w:ascii="Geometr706 Md TL" w:hAnsi="Geometr706 Md TL"/>
          <w:sz w:val="20"/>
          <w:szCs w:val="20"/>
        </w:rPr>
        <w:t xml:space="preserve">2274 cilvēku celšanai paredzētajiem pacēlājiem 352 pacēlāji ir vecāki par 16 gadiem (ražoti laika periodā no 1980. gada līdz 1997. gadam), savukārt no 4491 ekspluatācijā esošā kravas celtņa 3144 ir vecāki par 23 gadiem. Šāda situācija liecina par augstu riska pakāpi – pastāv iespēja minētajām iekārtām jebkurā brīdī iziet no ierindas slēptu tehnisku defektu dēļ, tādējādi radot apdraudējumu personāla dzīvībai un veselībai. Ņemot vērā iepriekš minēto, PTAC turpmāk pievērsīs pastiprinātu uzmanību šādām iekārtām un 2014.gadā plāno veikt uzraudzības darbības. </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i/>
          <w:sz w:val="20"/>
          <w:szCs w:val="20"/>
        </w:rPr>
        <w:t>Sadarbībā ar Valsts vides dienestu</w:t>
      </w:r>
      <w:r w:rsidRPr="00FB7347">
        <w:rPr>
          <w:rFonts w:ascii="Geometr706 Md TL" w:hAnsi="Geometr706 Md TL"/>
          <w:sz w:val="20"/>
          <w:szCs w:val="20"/>
        </w:rPr>
        <w:t xml:space="preserve"> PTAC pārstāvji ir piedalījušies 17 rūpniecisko avāriju riska izvērtējumā, kā arī paaugstināta riska uzņēmumu kompleksajās pārbaudēs (kopā 14 pārbaudes).</w:t>
      </w:r>
    </w:p>
    <w:p w:rsidR="00256E7F" w:rsidRPr="00256E7F" w:rsidRDefault="00256E7F" w:rsidP="00FB7347">
      <w:pPr>
        <w:pStyle w:val="Heading3"/>
        <w:spacing w:after="240"/>
        <w:jc w:val="center"/>
        <w:rPr>
          <w:rFonts w:ascii="Geometr706 Md TL" w:hAnsi="Geometr706 Md TL"/>
        </w:rPr>
      </w:pPr>
      <w:bookmarkStart w:id="60" w:name="_Toc392836104"/>
      <w:r w:rsidRPr="00256E7F">
        <w:rPr>
          <w:rFonts w:ascii="Geometr706 Md TL" w:hAnsi="Geometr706 Md TL"/>
        </w:rPr>
        <w:t>2.3.6. Patērētāju iesniegumu un sūdzību izskatīšana</w:t>
      </w:r>
      <w:bookmarkEnd w:id="58"/>
      <w:bookmarkEnd w:id="59"/>
      <w:bookmarkEnd w:id="60"/>
    </w:p>
    <w:p w:rsidR="00256E7F" w:rsidRPr="00FB7347" w:rsidRDefault="00256E7F" w:rsidP="00FB7347">
      <w:pPr>
        <w:spacing w:line="240" w:lineRule="auto"/>
        <w:ind w:firstLine="539"/>
        <w:jc w:val="both"/>
        <w:rPr>
          <w:rFonts w:ascii="Geometr706 Md TL" w:hAnsi="Geometr706 Md TL"/>
          <w:sz w:val="20"/>
          <w:szCs w:val="20"/>
        </w:rPr>
      </w:pPr>
      <w:r w:rsidRPr="00FB7347">
        <w:rPr>
          <w:rFonts w:ascii="Geometr706 Md TL" w:hAnsi="Geometr706 Md TL"/>
          <w:sz w:val="20"/>
          <w:szCs w:val="20"/>
        </w:rPr>
        <w:t>PTAC iesniegto sūdzību skaitam par patērētāju tiesību pārkāpumiem no 2005. gada līdz 2009. gadam bija tendence pieaugt, 2010. un 2011. gadā to skaits samazinājās, bet, sākot ar 2012. gadu, atkal ir vērojams sūdzību skaita kāpums.</w:t>
      </w:r>
    </w:p>
    <w:p w:rsidR="00256E7F" w:rsidRPr="00256E7F" w:rsidRDefault="00256E7F" w:rsidP="00256E7F">
      <w:pPr>
        <w:spacing w:line="240" w:lineRule="auto"/>
        <w:ind w:firstLine="539"/>
        <w:rPr>
          <w:rFonts w:ascii="Geometr706 Md TL" w:hAnsi="Geometr706 Md TL"/>
        </w:rPr>
      </w:pPr>
      <w:r w:rsidRPr="00256E7F">
        <w:rPr>
          <w:rFonts w:ascii="Geometr706 Md TL" w:hAnsi="Geometr706 Md TL"/>
          <w:noProof/>
          <w:lang w:eastAsia="lv-LV"/>
        </w:rPr>
        <w:lastRenderedPageBreak/>
        <w:drawing>
          <wp:inline distT="0" distB="0" distL="0" distR="0" wp14:anchorId="71E3662B" wp14:editId="3BD37A34">
            <wp:extent cx="4810125" cy="2476500"/>
            <wp:effectExtent l="0" t="0" r="9525" b="0"/>
            <wp:docPr id="7"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10125" cy="2476500"/>
                    </a:xfrm>
                    <a:prstGeom prst="rect">
                      <a:avLst/>
                    </a:prstGeom>
                    <a:noFill/>
                    <a:ln>
                      <a:noFill/>
                    </a:ln>
                  </pic:spPr>
                </pic:pic>
              </a:graphicData>
            </a:graphic>
          </wp:inline>
        </w:drawing>
      </w:r>
    </w:p>
    <w:p w:rsidR="00256E7F" w:rsidRPr="00FB7347" w:rsidRDefault="00256E7F" w:rsidP="00FB7347">
      <w:pPr>
        <w:spacing w:line="240" w:lineRule="auto"/>
        <w:ind w:firstLine="709"/>
        <w:jc w:val="both"/>
        <w:rPr>
          <w:rFonts w:ascii="Geometr706 Md TL" w:hAnsi="Geometr706 Md TL"/>
          <w:sz w:val="20"/>
          <w:szCs w:val="20"/>
        </w:rPr>
      </w:pPr>
      <w:bookmarkStart w:id="61" w:name="_2.3.7._Patērētāju_konsultēšana"/>
      <w:bookmarkStart w:id="62" w:name="_Toc380143880"/>
      <w:bookmarkStart w:id="63" w:name="_Toc380147120"/>
      <w:bookmarkEnd w:id="61"/>
      <w:r w:rsidRPr="00FB7347">
        <w:rPr>
          <w:rFonts w:ascii="Geometr706 Md TL" w:hAnsi="Geometr706 Md TL"/>
          <w:sz w:val="20"/>
          <w:szCs w:val="20"/>
        </w:rPr>
        <w:t>2013. gadā ir izskatītas 2244 patērētāju sūdzības. Salīdzinot ar iepriekšējo gadu (2151 sūdzība), izskatīto sūdzību skaits ir palielinājies par 93 sūdzībām jeb 4 %.</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Par 98 sūdzībām jeb 15 % ir palielinājies sūdzību par līguma noteikumiem neatbilstošiem pakalpojumiem skaits, par 73 sūdzībām jeb 15 % – sūdzību par līguma noteikumiem neatbilstošām precēm skaits (2013. gadā – 566 sūdzības, 2012. gadā – 493 sūdzības), bet par 82 sūdzībām jeb 34 % ir samazinājies sūdzību par līgumslēdzēju tiesiskās vienlīdzības principa neievērošanu skaits (2013. gadā – 159 sūdzības, 2012. gadā – 241 sūdzība).</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2013. gadā sūdzību skaita pieaugums varētu būt saistīts ar to kāpumu avio pakalpojumu jomā, kas izskaidrojams ar pasažieru augstāku informētības līmeni, ko sekmēja arī PTAC veiktās informēšanas kampaņas. Sūdzību skaita palielinājumu veicināja arī laba sadarbība ar citu dalībvalstu kompetentajām iestādēm, kurām PTAC pārsūtīja pasažieru sūdzības par avio pakalpojumiem.</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Zināmā mērā sūdzību skaita pieaugumu varētu skaidrot ar dažu pakalpojumu sniedzēju negodprātīgu rīcību saistībā ar ceļojumu piedāvājumiem un izklaides pasākumiem.</w:t>
      </w:r>
    </w:p>
    <w:p w:rsidR="00256E7F" w:rsidRPr="00FB7347" w:rsidRDefault="00256E7F" w:rsidP="00FB7347">
      <w:pPr>
        <w:spacing w:line="240" w:lineRule="auto"/>
        <w:jc w:val="both"/>
        <w:rPr>
          <w:rFonts w:ascii="Geometr706 Md TL" w:hAnsi="Geometr706 Md TL"/>
          <w:sz w:val="20"/>
          <w:szCs w:val="20"/>
        </w:rPr>
      </w:pPr>
      <w:r w:rsidRPr="00FB7347">
        <w:rPr>
          <w:rFonts w:ascii="Geometr706 Md TL" w:hAnsi="Geometr706 Md TL"/>
          <w:sz w:val="20"/>
          <w:szCs w:val="20"/>
        </w:rPr>
        <w:tab/>
        <w:t>2013. gadā, salīdzinot ar 2012. gadu, visvairāk ir palielinājies sūdzību par avio, tūrisma, īres un komunālajiem pakalpojumiem, mobilajiem telefoniem, elektroprecēm, automašīnām, kā arī par mēbelēm skaits. Savukārt nedaudz samazinājies sūdzību par apaviem un distances līgumu pakalpojumiem skaits. Sūdzības par elektronisko sakaru pakalpojumiem</w:t>
      </w:r>
      <w:r w:rsidR="00FB7347">
        <w:rPr>
          <w:rFonts w:ascii="Geometr706 Md TL" w:hAnsi="Geometr706 Md TL"/>
          <w:sz w:val="20"/>
          <w:szCs w:val="20"/>
        </w:rPr>
        <w:t xml:space="preserve"> saņemtas pagājušā gada līmenī.</w:t>
      </w:r>
    </w:p>
    <w:p w:rsidR="00256E7F" w:rsidRPr="00FB7347" w:rsidRDefault="00256E7F" w:rsidP="00FB7347">
      <w:pPr>
        <w:tabs>
          <w:tab w:val="left" w:pos="709"/>
        </w:tabs>
        <w:spacing w:line="240" w:lineRule="auto"/>
        <w:jc w:val="both"/>
        <w:rPr>
          <w:rFonts w:ascii="Geometr706 Md TL" w:hAnsi="Geometr706 Md TL"/>
          <w:sz w:val="20"/>
          <w:szCs w:val="20"/>
        </w:rPr>
      </w:pPr>
      <w:r w:rsidRPr="00FB7347">
        <w:rPr>
          <w:rFonts w:ascii="Geometr706 Md TL" w:hAnsi="Geometr706 Md TL"/>
          <w:sz w:val="20"/>
          <w:szCs w:val="20"/>
        </w:rPr>
        <w:t>Sūdzībās patērētāji izteikuši šādas pretenzijas:</w:t>
      </w:r>
    </w:p>
    <w:p w:rsidR="00256E7F" w:rsidRPr="00FB7347" w:rsidRDefault="00256E7F" w:rsidP="00FB7347">
      <w:pPr>
        <w:tabs>
          <w:tab w:val="left" w:pos="709"/>
        </w:tabs>
        <w:spacing w:line="240" w:lineRule="auto"/>
        <w:jc w:val="both"/>
        <w:rPr>
          <w:rFonts w:ascii="Geometr706 Md TL" w:hAnsi="Geometr706 Md TL"/>
          <w:sz w:val="20"/>
          <w:szCs w:val="20"/>
        </w:rPr>
      </w:pPr>
      <w:r w:rsidRPr="00FB7347">
        <w:rPr>
          <w:rFonts w:ascii="Geometr706 Md TL" w:hAnsi="Geometr706 Md TL"/>
          <w:sz w:val="20"/>
          <w:szCs w:val="20"/>
        </w:rPr>
        <w:tab/>
        <w:t>566 gadījumos – par iegādātām līguma noteikumiem neatbilstošām precēm;</w:t>
      </w:r>
    </w:p>
    <w:p w:rsidR="00256E7F" w:rsidRPr="00FB7347" w:rsidRDefault="00256E7F" w:rsidP="00FB7347">
      <w:pPr>
        <w:tabs>
          <w:tab w:val="left" w:pos="709"/>
        </w:tabs>
        <w:spacing w:line="240" w:lineRule="auto"/>
        <w:jc w:val="both"/>
        <w:rPr>
          <w:rFonts w:ascii="Geometr706 Md TL" w:hAnsi="Geometr706 Md TL"/>
          <w:sz w:val="20"/>
          <w:szCs w:val="20"/>
        </w:rPr>
      </w:pPr>
      <w:r w:rsidRPr="00FB7347">
        <w:rPr>
          <w:rFonts w:ascii="Geometr706 Md TL" w:hAnsi="Geometr706 Md TL"/>
          <w:sz w:val="20"/>
          <w:szCs w:val="20"/>
        </w:rPr>
        <w:tab/>
        <w:t>754 gadījumos – par līguma noteikumiem neatbilstošiem pakalpojumiem;</w:t>
      </w:r>
    </w:p>
    <w:p w:rsidR="00256E7F" w:rsidRPr="00FB7347" w:rsidRDefault="00256E7F" w:rsidP="00FB7347">
      <w:pPr>
        <w:tabs>
          <w:tab w:val="left" w:pos="709"/>
        </w:tabs>
        <w:spacing w:line="240" w:lineRule="auto"/>
        <w:jc w:val="both"/>
        <w:rPr>
          <w:rFonts w:ascii="Geometr706 Md TL" w:hAnsi="Geometr706 Md TL"/>
          <w:sz w:val="20"/>
          <w:szCs w:val="20"/>
        </w:rPr>
      </w:pPr>
      <w:r w:rsidRPr="00FB7347">
        <w:rPr>
          <w:rFonts w:ascii="Geometr706 Md TL" w:hAnsi="Geometr706 Md TL"/>
          <w:sz w:val="20"/>
          <w:szCs w:val="20"/>
        </w:rPr>
        <w:tab/>
        <w:t>96 gadījumos – par prasījuma izskatīšanas pārkāpumiem;</w:t>
      </w:r>
    </w:p>
    <w:p w:rsidR="00256E7F" w:rsidRPr="00FB7347" w:rsidRDefault="00256E7F" w:rsidP="00FB7347">
      <w:pPr>
        <w:tabs>
          <w:tab w:val="left" w:pos="709"/>
        </w:tabs>
        <w:spacing w:line="240" w:lineRule="auto"/>
        <w:jc w:val="both"/>
        <w:rPr>
          <w:rFonts w:ascii="Geometr706 Md TL" w:hAnsi="Geometr706 Md TL"/>
          <w:sz w:val="20"/>
          <w:szCs w:val="20"/>
        </w:rPr>
      </w:pPr>
      <w:r w:rsidRPr="00FB7347">
        <w:rPr>
          <w:rFonts w:ascii="Geometr706 Md TL" w:hAnsi="Geometr706 Md TL"/>
          <w:sz w:val="20"/>
          <w:szCs w:val="20"/>
        </w:rPr>
        <w:tab/>
        <w:t>263 gadījumos – par komercpraksi, reklāmu, e-komerciju;</w:t>
      </w:r>
    </w:p>
    <w:p w:rsidR="00256E7F" w:rsidRPr="00FB7347" w:rsidRDefault="00256E7F" w:rsidP="00FB7347">
      <w:pPr>
        <w:tabs>
          <w:tab w:val="left" w:pos="709"/>
        </w:tabs>
        <w:spacing w:line="240" w:lineRule="auto"/>
        <w:jc w:val="both"/>
        <w:rPr>
          <w:rFonts w:ascii="Geometr706 Md TL" w:hAnsi="Geometr706 Md TL"/>
          <w:sz w:val="20"/>
          <w:szCs w:val="20"/>
        </w:rPr>
      </w:pPr>
      <w:r w:rsidRPr="00FB7347">
        <w:rPr>
          <w:rFonts w:ascii="Geometr706 Md TL" w:hAnsi="Geometr706 Md TL"/>
          <w:sz w:val="20"/>
          <w:szCs w:val="20"/>
        </w:rPr>
        <w:tab/>
        <w:t>159 gadījumos – par līgumslēdzēju tiesiskās vienlīdzības principa neievērošanu;</w:t>
      </w:r>
    </w:p>
    <w:p w:rsidR="00256E7F" w:rsidRPr="00FB7347" w:rsidRDefault="00256E7F" w:rsidP="00FB7347">
      <w:pPr>
        <w:tabs>
          <w:tab w:val="left" w:pos="709"/>
        </w:tabs>
        <w:spacing w:line="240" w:lineRule="auto"/>
        <w:jc w:val="both"/>
        <w:rPr>
          <w:rFonts w:ascii="Geometr706 Md TL" w:hAnsi="Geometr706 Md TL"/>
          <w:sz w:val="20"/>
          <w:szCs w:val="20"/>
        </w:rPr>
      </w:pPr>
      <w:r w:rsidRPr="00FB7347">
        <w:rPr>
          <w:rFonts w:ascii="Geometr706 Md TL" w:hAnsi="Geometr706 Md TL"/>
          <w:sz w:val="20"/>
          <w:szCs w:val="20"/>
        </w:rPr>
        <w:tab/>
        <w:t>8 gadījumos – par nepilnīgu, nepatiesu informāciju;</w:t>
      </w:r>
    </w:p>
    <w:p w:rsidR="00256E7F" w:rsidRPr="00FB7347" w:rsidRDefault="00256E7F" w:rsidP="00FB7347">
      <w:pPr>
        <w:tabs>
          <w:tab w:val="left" w:pos="709"/>
        </w:tabs>
        <w:spacing w:line="240" w:lineRule="auto"/>
        <w:jc w:val="both"/>
        <w:rPr>
          <w:rFonts w:ascii="Geometr706 Md TL" w:hAnsi="Geometr706 Md TL"/>
          <w:sz w:val="20"/>
          <w:szCs w:val="20"/>
        </w:rPr>
      </w:pPr>
      <w:r w:rsidRPr="00FB7347">
        <w:rPr>
          <w:rFonts w:ascii="Geometr706 Md TL" w:hAnsi="Geometr706 Md TL"/>
          <w:sz w:val="20"/>
          <w:szCs w:val="20"/>
        </w:rPr>
        <w:tab/>
        <w:t>2 gadījumos – par nepareizi noteiktu samaksu par pirkumu un svaru vai mēru;</w:t>
      </w:r>
    </w:p>
    <w:p w:rsidR="00256E7F" w:rsidRPr="00FB7347" w:rsidRDefault="00256E7F" w:rsidP="00FB7347">
      <w:pPr>
        <w:tabs>
          <w:tab w:val="left" w:pos="709"/>
        </w:tabs>
        <w:spacing w:line="240" w:lineRule="auto"/>
        <w:jc w:val="both"/>
        <w:rPr>
          <w:rFonts w:ascii="Geometr706 Md TL" w:hAnsi="Geometr706 Md TL"/>
          <w:sz w:val="20"/>
          <w:szCs w:val="20"/>
        </w:rPr>
      </w:pPr>
      <w:r w:rsidRPr="00FB7347">
        <w:rPr>
          <w:rFonts w:ascii="Geometr706 Md TL" w:hAnsi="Geometr706 Md TL"/>
          <w:sz w:val="20"/>
          <w:szCs w:val="20"/>
        </w:rPr>
        <w:lastRenderedPageBreak/>
        <w:tab/>
        <w:t>572 gadījumos – par citām pretenzijām.</w:t>
      </w:r>
    </w:p>
    <w:p w:rsidR="00FB7347" w:rsidRPr="00FB7347" w:rsidRDefault="00256E7F" w:rsidP="00FB7347">
      <w:pPr>
        <w:tabs>
          <w:tab w:val="left" w:pos="709"/>
        </w:tabs>
        <w:spacing w:line="240" w:lineRule="auto"/>
        <w:jc w:val="both"/>
        <w:rPr>
          <w:rFonts w:ascii="Geometr706 Md TL" w:hAnsi="Geometr706 Md TL"/>
          <w:sz w:val="20"/>
          <w:szCs w:val="20"/>
        </w:rPr>
      </w:pPr>
      <w:r w:rsidRPr="00FB7347">
        <w:rPr>
          <w:rFonts w:ascii="Geometr706 Md TL" w:hAnsi="Geometr706 Md TL"/>
          <w:sz w:val="20"/>
          <w:szCs w:val="20"/>
        </w:rPr>
        <w:tab/>
        <w:t>No saņemtajām 2244 sūdzībām izskatīšanai PTAC centrālajā iestādē Rīgā iesniegtas 2198 sūdzības, Daugavpils reģionāla</w:t>
      </w:r>
      <w:r w:rsidR="00FB7347">
        <w:rPr>
          <w:rFonts w:ascii="Geometr706 Md TL" w:hAnsi="Geometr706 Md TL"/>
          <w:sz w:val="20"/>
          <w:szCs w:val="20"/>
        </w:rPr>
        <w:t>jā pārvaldē – 46 sūdzības.</w:t>
      </w:r>
    </w:p>
    <w:p w:rsidR="00256E7F" w:rsidRPr="00FB7347" w:rsidRDefault="00256E7F" w:rsidP="00256E7F">
      <w:pPr>
        <w:jc w:val="center"/>
        <w:rPr>
          <w:rFonts w:ascii="Geometr706 Md TL" w:hAnsi="Geometr706 Md TL"/>
          <w:b/>
          <w:bCs/>
          <w:sz w:val="24"/>
          <w:szCs w:val="28"/>
        </w:rPr>
      </w:pPr>
      <w:r w:rsidRPr="00FB7347">
        <w:rPr>
          <w:rFonts w:ascii="Geometr706 Md TL" w:hAnsi="Geometr706 Md TL"/>
          <w:b/>
          <w:bCs/>
          <w:sz w:val="24"/>
          <w:szCs w:val="28"/>
        </w:rPr>
        <w:t>Sūdzību izskatīšanas rezultāti</w:t>
      </w:r>
    </w:p>
    <w:p w:rsidR="00256E7F" w:rsidRPr="00FB7347" w:rsidRDefault="00256E7F" w:rsidP="00256E7F">
      <w:pPr>
        <w:tabs>
          <w:tab w:val="left" w:pos="709"/>
        </w:tabs>
        <w:spacing w:line="240" w:lineRule="auto"/>
        <w:rPr>
          <w:rFonts w:ascii="Geometr706 Md TL" w:hAnsi="Geometr706 Md TL"/>
          <w:sz w:val="20"/>
          <w:szCs w:val="20"/>
        </w:rPr>
      </w:pPr>
      <w:r w:rsidRPr="00FB7347">
        <w:rPr>
          <w:rFonts w:ascii="Geometr706 Md TL" w:hAnsi="Geometr706 Md TL"/>
          <w:sz w:val="20"/>
          <w:szCs w:val="20"/>
        </w:rPr>
        <w:t>Izskatot iesniegtās sūdzības:</w:t>
      </w:r>
    </w:p>
    <w:p w:rsidR="00256E7F" w:rsidRPr="00FB7347" w:rsidRDefault="00256E7F" w:rsidP="00256E7F">
      <w:pPr>
        <w:numPr>
          <w:ilvl w:val="0"/>
          <w:numId w:val="44"/>
        </w:numPr>
        <w:tabs>
          <w:tab w:val="clear" w:pos="720"/>
          <w:tab w:val="left" w:pos="709"/>
        </w:tabs>
        <w:spacing w:after="0" w:line="240" w:lineRule="auto"/>
        <w:jc w:val="both"/>
        <w:rPr>
          <w:rFonts w:ascii="Geometr706 Md TL" w:hAnsi="Geometr706 Md TL"/>
          <w:sz w:val="20"/>
          <w:szCs w:val="20"/>
        </w:rPr>
      </w:pPr>
      <w:r w:rsidRPr="00FB7347">
        <w:rPr>
          <w:rFonts w:ascii="Geometr706 Md TL" w:hAnsi="Geometr706 Md TL"/>
          <w:sz w:val="20"/>
          <w:szCs w:val="20"/>
        </w:rPr>
        <w:t>451 gadījumos jeb 20 % no kopējā sūdzību skaita rasts patērētājiem pozitīvs risinājums;</w:t>
      </w:r>
    </w:p>
    <w:p w:rsidR="00256E7F" w:rsidRPr="00FB7347" w:rsidRDefault="00256E7F" w:rsidP="00256E7F">
      <w:pPr>
        <w:numPr>
          <w:ilvl w:val="0"/>
          <w:numId w:val="44"/>
        </w:numPr>
        <w:tabs>
          <w:tab w:val="clear" w:pos="720"/>
          <w:tab w:val="left" w:pos="709"/>
        </w:tabs>
        <w:spacing w:after="0" w:line="240" w:lineRule="auto"/>
        <w:jc w:val="both"/>
        <w:rPr>
          <w:rFonts w:ascii="Geometr706 Md TL" w:hAnsi="Geometr706 Md TL"/>
          <w:sz w:val="20"/>
          <w:szCs w:val="20"/>
        </w:rPr>
      </w:pPr>
      <w:r w:rsidRPr="00FB7347">
        <w:rPr>
          <w:rFonts w:ascii="Geometr706 Md TL" w:hAnsi="Geometr706 Md TL"/>
          <w:sz w:val="20"/>
          <w:szCs w:val="20"/>
        </w:rPr>
        <w:t>66 gadījumos (3 %) pieņemts patērētājam labvēlīgs lēmums;</w:t>
      </w:r>
    </w:p>
    <w:p w:rsidR="00256E7F" w:rsidRPr="00FB7347" w:rsidRDefault="00256E7F" w:rsidP="00256E7F">
      <w:pPr>
        <w:numPr>
          <w:ilvl w:val="0"/>
          <w:numId w:val="44"/>
        </w:numPr>
        <w:tabs>
          <w:tab w:val="clear" w:pos="720"/>
          <w:tab w:val="left" w:pos="709"/>
        </w:tabs>
        <w:spacing w:after="0" w:line="240" w:lineRule="auto"/>
        <w:jc w:val="both"/>
        <w:rPr>
          <w:rFonts w:ascii="Geometr706 Md TL" w:hAnsi="Geometr706 Md TL"/>
          <w:sz w:val="20"/>
          <w:szCs w:val="20"/>
        </w:rPr>
      </w:pPr>
      <w:r w:rsidRPr="00FB7347">
        <w:rPr>
          <w:rFonts w:ascii="Geometr706 Md TL" w:hAnsi="Geometr706 Md TL"/>
          <w:sz w:val="20"/>
          <w:szCs w:val="20"/>
        </w:rPr>
        <w:t>23 gadījumos (1 %) sūdzības ir bijušas nepamatotas;</w:t>
      </w:r>
    </w:p>
    <w:p w:rsidR="00256E7F" w:rsidRPr="00FB7347" w:rsidRDefault="00256E7F" w:rsidP="00256E7F">
      <w:pPr>
        <w:numPr>
          <w:ilvl w:val="0"/>
          <w:numId w:val="44"/>
        </w:numPr>
        <w:tabs>
          <w:tab w:val="clear" w:pos="720"/>
          <w:tab w:val="left" w:pos="709"/>
        </w:tabs>
        <w:spacing w:after="0" w:line="240" w:lineRule="auto"/>
        <w:jc w:val="both"/>
        <w:rPr>
          <w:rFonts w:ascii="Geometr706 Md TL" w:hAnsi="Geometr706 Md TL"/>
          <w:sz w:val="20"/>
          <w:szCs w:val="20"/>
        </w:rPr>
      </w:pPr>
      <w:r w:rsidRPr="00FB7347">
        <w:rPr>
          <w:rFonts w:ascii="Geometr706 Md TL" w:hAnsi="Geometr706 Md TL"/>
          <w:sz w:val="20"/>
          <w:szCs w:val="20"/>
        </w:rPr>
        <w:t>1488 gadījumos (66 %) sniegts skaidrojums;</w:t>
      </w:r>
    </w:p>
    <w:p w:rsidR="00256E7F" w:rsidRPr="00FB7347" w:rsidRDefault="00256E7F" w:rsidP="00256E7F">
      <w:pPr>
        <w:numPr>
          <w:ilvl w:val="0"/>
          <w:numId w:val="44"/>
        </w:numPr>
        <w:tabs>
          <w:tab w:val="clear" w:pos="720"/>
          <w:tab w:val="left" w:pos="709"/>
        </w:tabs>
        <w:spacing w:after="0" w:line="240" w:lineRule="auto"/>
        <w:jc w:val="both"/>
        <w:rPr>
          <w:rFonts w:ascii="Geometr706 Md TL" w:hAnsi="Geometr706 Md TL"/>
          <w:sz w:val="20"/>
          <w:szCs w:val="20"/>
        </w:rPr>
      </w:pPr>
      <w:r w:rsidRPr="00FB7347">
        <w:rPr>
          <w:rFonts w:ascii="Geometr706 Md TL" w:hAnsi="Geometr706 Md TL"/>
          <w:sz w:val="20"/>
          <w:szCs w:val="20"/>
        </w:rPr>
        <w:t>100 gadījumos (5 %) sūdzības pārsūtītas citām institūcijām;</w:t>
      </w:r>
    </w:p>
    <w:p w:rsidR="00256E7F" w:rsidRPr="00FB7347" w:rsidRDefault="00256E7F" w:rsidP="00256E7F">
      <w:pPr>
        <w:numPr>
          <w:ilvl w:val="0"/>
          <w:numId w:val="44"/>
        </w:numPr>
        <w:tabs>
          <w:tab w:val="clear" w:pos="720"/>
          <w:tab w:val="left" w:pos="709"/>
        </w:tabs>
        <w:spacing w:after="0" w:line="240" w:lineRule="auto"/>
        <w:jc w:val="both"/>
        <w:rPr>
          <w:rFonts w:ascii="Geometr706 Md TL" w:hAnsi="Geometr706 Md TL"/>
          <w:sz w:val="20"/>
          <w:szCs w:val="20"/>
        </w:rPr>
      </w:pPr>
      <w:r w:rsidRPr="00FB7347">
        <w:rPr>
          <w:rFonts w:ascii="Geometr706 Md TL" w:hAnsi="Geometr706 Md TL"/>
          <w:sz w:val="20"/>
          <w:szCs w:val="20"/>
        </w:rPr>
        <w:t>28 gadījumos (1 %) sūdzības atsauktas;</w:t>
      </w:r>
    </w:p>
    <w:p w:rsidR="00256E7F" w:rsidRPr="00FB7347" w:rsidRDefault="00256E7F" w:rsidP="00256E7F">
      <w:pPr>
        <w:numPr>
          <w:ilvl w:val="0"/>
          <w:numId w:val="44"/>
        </w:numPr>
        <w:tabs>
          <w:tab w:val="clear" w:pos="720"/>
          <w:tab w:val="left" w:pos="709"/>
        </w:tabs>
        <w:spacing w:after="0" w:line="240" w:lineRule="auto"/>
        <w:jc w:val="both"/>
        <w:rPr>
          <w:rFonts w:ascii="Geometr706 Md TL" w:hAnsi="Geometr706 Md TL"/>
          <w:sz w:val="20"/>
          <w:szCs w:val="20"/>
        </w:rPr>
      </w:pPr>
      <w:r w:rsidRPr="00FB7347">
        <w:rPr>
          <w:rFonts w:ascii="Geometr706 Md TL" w:hAnsi="Geometr706 Md TL"/>
          <w:sz w:val="20"/>
          <w:szCs w:val="20"/>
        </w:rPr>
        <w:t>86 gadījumos (4 %) sūdzības atteikts izskatīt;</w:t>
      </w:r>
    </w:p>
    <w:p w:rsidR="00256E7F" w:rsidRPr="00FB7347" w:rsidRDefault="00256E7F" w:rsidP="00256E7F">
      <w:pPr>
        <w:numPr>
          <w:ilvl w:val="0"/>
          <w:numId w:val="44"/>
        </w:numPr>
        <w:tabs>
          <w:tab w:val="clear" w:pos="720"/>
          <w:tab w:val="left" w:pos="709"/>
        </w:tabs>
        <w:spacing w:after="0" w:line="240" w:lineRule="auto"/>
        <w:jc w:val="both"/>
        <w:rPr>
          <w:rFonts w:ascii="Geometr706 Md TL" w:hAnsi="Geometr706 Md TL"/>
          <w:sz w:val="20"/>
          <w:szCs w:val="20"/>
        </w:rPr>
      </w:pPr>
      <w:r w:rsidRPr="00FB7347">
        <w:rPr>
          <w:rFonts w:ascii="Geometr706 Md TL" w:hAnsi="Geometr706 Md TL"/>
          <w:sz w:val="20"/>
          <w:szCs w:val="20"/>
        </w:rPr>
        <w:t>2 sūdzības (0 %) ir izskatīšanas stadijā.</w:t>
      </w:r>
    </w:p>
    <w:p w:rsidR="00256E7F" w:rsidRPr="00FB7347" w:rsidRDefault="00256E7F" w:rsidP="00256E7F">
      <w:pPr>
        <w:ind w:firstLine="720"/>
        <w:rPr>
          <w:rFonts w:ascii="Geometr706 Md TL" w:hAnsi="Geometr706 Md TL"/>
          <w:noProof/>
          <w:sz w:val="20"/>
          <w:szCs w:val="20"/>
        </w:rPr>
      </w:pPr>
    </w:p>
    <w:p w:rsidR="00256E7F" w:rsidRPr="00256E7F" w:rsidRDefault="00256E7F" w:rsidP="00256E7F">
      <w:pPr>
        <w:ind w:firstLine="720"/>
        <w:rPr>
          <w:rFonts w:ascii="Geometr706 Md TL" w:hAnsi="Geometr706 Md TL"/>
          <w:b/>
          <w:bCs/>
        </w:rPr>
      </w:pPr>
      <w:r w:rsidRPr="00256E7F">
        <w:rPr>
          <w:rFonts w:ascii="Geometr706 Md TL" w:hAnsi="Geometr706 Md TL"/>
          <w:noProof/>
          <w:lang w:eastAsia="lv-LV"/>
        </w:rPr>
        <w:drawing>
          <wp:inline distT="0" distB="0" distL="0" distR="0" wp14:anchorId="13C20CBC" wp14:editId="166F3362">
            <wp:extent cx="4880758" cy="3716977"/>
            <wp:effectExtent l="0" t="0" r="15240" b="17145"/>
            <wp:docPr id="18"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56E7F" w:rsidRPr="00FB7347" w:rsidRDefault="00256E7F" w:rsidP="00FB7347">
      <w:pPr>
        <w:tabs>
          <w:tab w:val="left" w:pos="709"/>
        </w:tabs>
        <w:spacing w:line="240" w:lineRule="auto"/>
        <w:ind w:firstLine="567"/>
        <w:jc w:val="both"/>
        <w:rPr>
          <w:rFonts w:ascii="Geometr706 Md TL" w:hAnsi="Geometr706 Md TL"/>
          <w:sz w:val="20"/>
          <w:szCs w:val="20"/>
        </w:rPr>
      </w:pPr>
      <w:r w:rsidRPr="00FB7347">
        <w:rPr>
          <w:rFonts w:ascii="Geometr706 Md TL" w:hAnsi="Geometr706 Md TL"/>
          <w:sz w:val="20"/>
          <w:szCs w:val="20"/>
        </w:rPr>
        <w:t xml:space="preserve">Risinot strīdus ar komersantiem, patērētāji visbiežāk vēlas saņemt atpakaļ samaksāto naudu par preci vai pakalpojumu vai veikt preces apmaiņu. Analizējot sūdzību izskatīšanas rezultātus, jāatzīmē, ka 20 % (451 gadījumā) no kopējā sūdzību skaita, tika rasts patērētājiem pozitīvs risinājums, kas attiecībā pret kopējo sūdzību skaitu 2012. gadā bija 19 %. Patērētājiem pozitīvs risinājums daudzos gadījumos ir arī PTAC darbinieku informēšanas, normatīvo aktu izskaidrošanas un pārrunu ar strīdā iesaistītajām pusēm rezultāts, taču dažkārt strīdu risināšanu kavē negodprātīga atsevišķu pārdevēju un pakalpojumu sniedzēju rīcība, kas saistīta ar izvairīšanos no atbilžu sniegšanas normatīvajos aktos noteiktajā termiņā, neatrašanos preču pārdošanas un pakalpojumu sniegšanas vietā, korespondences saņemšanas nenodrošināšanu juridiskajā adresē, kā arī strīdā iesaistīto pušu neatsaucība. Ir </w:t>
      </w:r>
      <w:r w:rsidRPr="00FB7347">
        <w:rPr>
          <w:rFonts w:ascii="Geometr706 Md TL" w:hAnsi="Geometr706 Md TL"/>
          <w:sz w:val="20"/>
          <w:szCs w:val="20"/>
        </w:rPr>
        <w:lastRenderedPageBreak/>
        <w:t>gadījumi, kad uzņēmumiem tiek pasludināts maksātnespējas process, kas PTAC liedz strīdus risināt patērētāju tiesību reglamentējošo normatīvo aktu noteiktajā kārtībā.</w:t>
      </w:r>
    </w:p>
    <w:p w:rsidR="00256E7F" w:rsidRPr="00FB7347" w:rsidRDefault="00256E7F" w:rsidP="00FB7347">
      <w:pPr>
        <w:tabs>
          <w:tab w:val="left" w:pos="709"/>
        </w:tabs>
        <w:spacing w:line="240" w:lineRule="auto"/>
        <w:ind w:firstLine="567"/>
        <w:jc w:val="both"/>
        <w:rPr>
          <w:rFonts w:ascii="Geometr706 Md TL" w:hAnsi="Geometr706 Md TL"/>
          <w:sz w:val="20"/>
          <w:szCs w:val="20"/>
        </w:rPr>
      </w:pPr>
      <w:r w:rsidRPr="00FB7347">
        <w:rPr>
          <w:rFonts w:ascii="Geometr706 Md TL" w:hAnsi="Geometr706 Md TL"/>
          <w:sz w:val="20"/>
          <w:szCs w:val="20"/>
        </w:rPr>
        <w:t>Bieži vien patērētāji savās sūdzībās pieprasa arī kompensēt radušos zaudējumus, taču saskaņā ar PTAL noteikto regulējumu PTAC nav tiesīgs lemt par zaudējumu atlīdzību, līdz ar to patērētājiem ir jāvēršas tiesā.</w:t>
      </w:r>
    </w:p>
    <w:p w:rsidR="00256E7F" w:rsidRPr="00FB7347" w:rsidRDefault="00256E7F" w:rsidP="00FB7347">
      <w:pPr>
        <w:spacing w:line="240" w:lineRule="auto"/>
        <w:ind w:firstLine="567"/>
        <w:jc w:val="both"/>
        <w:rPr>
          <w:rFonts w:ascii="Geometr706 Md TL" w:hAnsi="Geometr706 Md TL"/>
          <w:sz w:val="20"/>
          <w:szCs w:val="20"/>
        </w:rPr>
      </w:pPr>
      <w:r w:rsidRPr="00FB7347">
        <w:rPr>
          <w:rFonts w:ascii="Geometr706 Md TL" w:hAnsi="Geometr706 Md TL"/>
          <w:sz w:val="20"/>
          <w:szCs w:val="20"/>
        </w:rPr>
        <w:t>PTAC saņēma vairākas sūdzības arī par tādiem komersantiem, kuri ļaunprātīgi izvairījās no patērētāju prasību izpildes. Nepieciešamības gadījumos PTAC lietas materiālus par iespējamu noziedzīgu nodarījumu izdarīšanu nosūtīja izvērtēšanai Valsts policijas Galvenās kriminālpolicijas pārvaldei.</w:t>
      </w:r>
    </w:p>
    <w:p w:rsidR="00256E7F" w:rsidRPr="00FB7347" w:rsidRDefault="00256E7F" w:rsidP="00256E7F">
      <w:pPr>
        <w:tabs>
          <w:tab w:val="left" w:pos="709"/>
        </w:tabs>
        <w:spacing w:line="240" w:lineRule="auto"/>
        <w:rPr>
          <w:rFonts w:ascii="Geometr706 Md TL" w:hAnsi="Geometr706 Md TL"/>
          <w:b/>
          <w:bCs/>
          <w:sz w:val="20"/>
          <w:szCs w:val="20"/>
        </w:rPr>
      </w:pPr>
      <w:r w:rsidRPr="00FB7347">
        <w:rPr>
          <w:rFonts w:ascii="Geometr706 Md TL" w:hAnsi="Geometr706 Md TL"/>
          <w:b/>
          <w:bCs/>
          <w:sz w:val="20"/>
          <w:szCs w:val="20"/>
        </w:rPr>
        <w:t>Sūdzības par precēm</w:t>
      </w:r>
    </w:p>
    <w:p w:rsidR="00256E7F" w:rsidRPr="00FB7347" w:rsidRDefault="00256E7F" w:rsidP="00FB7347">
      <w:pPr>
        <w:tabs>
          <w:tab w:val="left" w:pos="709"/>
        </w:tabs>
        <w:spacing w:line="240" w:lineRule="auto"/>
        <w:ind w:firstLine="540"/>
        <w:jc w:val="both"/>
        <w:rPr>
          <w:rFonts w:ascii="Geometr706 Md TL" w:hAnsi="Geometr706 Md TL"/>
          <w:sz w:val="20"/>
          <w:szCs w:val="20"/>
        </w:rPr>
      </w:pPr>
      <w:r w:rsidRPr="00FB7347">
        <w:rPr>
          <w:rFonts w:ascii="Geometr706 Md TL" w:hAnsi="Geometr706 Md TL"/>
          <w:sz w:val="20"/>
          <w:szCs w:val="20"/>
        </w:rPr>
        <w:t>Par preču neatbilstību līguma noteikumiem saņemtas 566 sūdzības – par 15 % vairāk, salīdzinot ar iepriekšējo gadu (493 sūdzības). Šajā segmentā visvairāk sūdzību saņemts par apavu kvalitāti – 21 % (121 sūdzība), seko sūdzības par mobilajiem telefoniem – 21 % (118 sūdzību) un elektroprecēm – 17 % (97 sūdzības), sūdzības par mēbelēm – 4 % (24 sūdzības), tekstila izstrādājumiem – 3 % (15 sūdzību) un sūdzības par dažādām citām precēm.</w:t>
      </w:r>
    </w:p>
    <w:p w:rsidR="00256E7F" w:rsidRPr="00256E7F" w:rsidRDefault="00256E7F" w:rsidP="00256E7F">
      <w:pPr>
        <w:pStyle w:val="Heading3"/>
        <w:jc w:val="center"/>
        <w:rPr>
          <w:rFonts w:ascii="Geometr706 Md TL" w:hAnsi="Geometr706 Md TL"/>
        </w:rPr>
      </w:pPr>
      <w:bookmarkStart w:id="64" w:name="_Toc392836105"/>
      <w:r w:rsidRPr="00256E7F">
        <w:rPr>
          <w:rFonts w:ascii="Geometr706 Md TL" w:hAnsi="Geometr706 Md TL"/>
          <w:noProof/>
          <w:lang w:eastAsia="lv-LV"/>
        </w:rPr>
        <w:drawing>
          <wp:inline distT="0" distB="0" distL="0" distR="0" wp14:anchorId="4312FB16" wp14:editId="4A375595">
            <wp:extent cx="4152900" cy="2705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52900" cy="2705100"/>
                    </a:xfrm>
                    <a:prstGeom prst="rect">
                      <a:avLst/>
                    </a:prstGeom>
                    <a:noFill/>
                    <a:ln>
                      <a:noFill/>
                    </a:ln>
                  </pic:spPr>
                </pic:pic>
              </a:graphicData>
            </a:graphic>
          </wp:inline>
        </w:drawing>
      </w:r>
      <w:bookmarkEnd w:id="64"/>
    </w:p>
    <w:p w:rsidR="00256E7F" w:rsidRPr="003179A2" w:rsidRDefault="00256E7F" w:rsidP="003179A2">
      <w:pPr>
        <w:tabs>
          <w:tab w:val="left" w:pos="709"/>
        </w:tabs>
        <w:spacing w:before="240" w:line="240" w:lineRule="auto"/>
        <w:jc w:val="both"/>
        <w:rPr>
          <w:rFonts w:ascii="Geometr706 Md TL" w:hAnsi="Geometr706 Md TL"/>
          <w:b/>
          <w:bCs/>
          <w:sz w:val="20"/>
          <w:szCs w:val="20"/>
        </w:rPr>
      </w:pPr>
      <w:r w:rsidRPr="003179A2">
        <w:rPr>
          <w:rFonts w:ascii="Geometr706 Md TL" w:hAnsi="Geometr706 Md TL"/>
          <w:b/>
          <w:bCs/>
          <w:sz w:val="20"/>
          <w:szCs w:val="20"/>
        </w:rPr>
        <w:t>Sūdzības par pakalp</w:t>
      </w:r>
      <w:r w:rsidR="00FB7347" w:rsidRPr="003179A2">
        <w:rPr>
          <w:rFonts w:ascii="Geometr706 Md TL" w:hAnsi="Geometr706 Md TL"/>
          <w:b/>
          <w:bCs/>
          <w:sz w:val="20"/>
          <w:szCs w:val="20"/>
        </w:rPr>
        <w:t>ojumiem</w:t>
      </w:r>
    </w:p>
    <w:p w:rsidR="00256E7F" w:rsidRPr="003179A2" w:rsidRDefault="00256E7F" w:rsidP="00FB7347">
      <w:pPr>
        <w:tabs>
          <w:tab w:val="left" w:pos="709"/>
        </w:tabs>
        <w:spacing w:line="240" w:lineRule="auto"/>
        <w:ind w:firstLine="720"/>
        <w:jc w:val="both"/>
        <w:rPr>
          <w:rFonts w:ascii="Geometr706 Md TL" w:hAnsi="Geometr706 Md TL"/>
          <w:sz w:val="20"/>
          <w:szCs w:val="20"/>
        </w:rPr>
      </w:pPr>
      <w:r w:rsidRPr="003179A2">
        <w:rPr>
          <w:rFonts w:ascii="Geometr706 Md TL" w:hAnsi="Geometr706 Md TL"/>
          <w:sz w:val="20"/>
          <w:szCs w:val="20"/>
        </w:rPr>
        <w:t>Par pakalpojumu neatbilstību līguma noteikumiem saņemtas 754 sūdzības – par 15 % vairāk nekā pērn (656 sūdzības). Pakalpojumu segmentā patērētāji visvairāk sūdzējušies par avio pakalpojumiem – 30 % (233 sūdzības), īres un komunālajiem pakalpojumiem – 18 % (134 sūdzības), elektronisko sakaru pakalpojumiem – 12 % (87 sūdzības), seko sūdzības par distances līgumu pakalpojumiem – 9 % (68 sūdzības), tūrisma pakalpojumiem – 2 % (18 sūdzību) un citas sūdzī</w:t>
      </w:r>
      <w:r w:rsidR="00FB7347" w:rsidRPr="003179A2">
        <w:rPr>
          <w:rFonts w:ascii="Geometr706 Md TL" w:hAnsi="Geometr706 Md TL"/>
          <w:sz w:val="20"/>
          <w:szCs w:val="20"/>
        </w:rPr>
        <w:t>bas par dažādiem pakalpojumiem.</w:t>
      </w:r>
    </w:p>
    <w:p w:rsidR="00FB7347" w:rsidRPr="003179A2" w:rsidRDefault="00256E7F" w:rsidP="003179A2">
      <w:pPr>
        <w:jc w:val="center"/>
        <w:rPr>
          <w:rFonts w:ascii="Geometr706 Md TL" w:hAnsi="Geometr706 Md TL"/>
        </w:rPr>
      </w:pPr>
      <w:r w:rsidRPr="00256E7F">
        <w:rPr>
          <w:rFonts w:ascii="Geometr706 Md TL" w:hAnsi="Geometr706 Md TL"/>
          <w:noProof/>
          <w:lang w:eastAsia="lv-LV"/>
        </w:rPr>
        <w:lastRenderedPageBreak/>
        <w:drawing>
          <wp:inline distT="0" distB="0" distL="0" distR="0" wp14:anchorId="47DAFFC2" wp14:editId="37928C05">
            <wp:extent cx="4322641" cy="25921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28940" cy="2595902"/>
                    </a:xfrm>
                    <a:prstGeom prst="rect">
                      <a:avLst/>
                    </a:prstGeom>
                    <a:noFill/>
                    <a:ln>
                      <a:noFill/>
                    </a:ln>
                  </pic:spPr>
                </pic:pic>
              </a:graphicData>
            </a:graphic>
          </wp:inline>
        </w:drawing>
      </w:r>
    </w:p>
    <w:p w:rsidR="00256E7F" w:rsidRPr="00256E7F" w:rsidRDefault="00256E7F" w:rsidP="00FB7347">
      <w:pPr>
        <w:pStyle w:val="Heading3"/>
        <w:spacing w:after="240"/>
        <w:jc w:val="center"/>
        <w:rPr>
          <w:rFonts w:ascii="Geometr706 Md TL" w:hAnsi="Geometr706 Md TL"/>
        </w:rPr>
      </w:pPr>
      <w:bookmarkStart w:id="65" w:name="_Toc392836106"/>
      <w:r w:rsidRPr="00256E7F">
        <w:rPr>
          <w:rFonts w:ascii="Geometr706 Md TL" w:hAnsi="Geometr706 Md TL"/>
        </w:rPr>
        <w:t>2.3.7. Patērētāju konsultēšana un informēšana</w:t>
      </w:r>
      <w:bookmarkEnd w:id="62"/>
      <w:bookmarkEnd w:id="63"/>
      <w:bookmarkEnd w:id="65"/>
    </w:p>
    <w:p w:rsidR="00FB7347" w:rsidRPr="00FB7347" w:rsidRDefault="003179A2" w:rsidP="003179A2">
      <w:pPr>
        <w:tabs>
          <w:tab w:val="left" w:pos="709"/>
        </w:tabs>
        <w:spacing w:line="240" w:lineRule="auto"/>
        <w:ind w:firstLine="540"/>
        <w:jc w:val="both"/>
        <w:rPr>
          <w:rFonts w:ascii="Geometr706 Md TL" w:hAnsi="Geometr706 Md TL"/>
          <w:sz w:val="20"/>
          <w:szCs w:val="20"/>
        </w:rPr>
      </w:pPr>
      <w:r w:rsidRPr="003179A2">
        <w:rPr>
          <w:rFonts w:ascii="Geometr706 Md TL" w:hAnsi="Geometr706 Md TL"/>
          <w:noProof/>
          <w:sz w:val="20"/>
          <w:szCs w:val="20"/>
          <w:lang w:eastAsia="lv-LV"/>
        </w:rPr>
        <w:drawing>
          <wp:anchor distT="0" distB="0" distL="114300" distR="114300" simplePos="0" relativeHeight="251663360" behindDoc="0" locked="0" layoutInCell="1" allowOverlap="1" wp14:anchorId="4CD72B40" wp14:editId="75A31F12">
            <wp:simplePos x="0" y="0"/>
            <wp:positionH relativeFrom="column">
              <wp:posOffset>474980</wp:posOffset>
            </wp:positionH>
            <wp:positionV relativeFrom="paragraph">
              <wp:posOffset>824865</wp:posOffset>
            </wp:positionV>
            <wp:extent cx="4171950" cy="2562225"/>
            <wp:effectExtent l="0" t="0" r="0" b="9525"/>
            <wp:wrapTopAndBottom/>
            <wp:docPr id="14"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71950" cy="2562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6E7F" w:rsidRPr="00FB7347">
        <w:rPr>
          <w:rFonts w:ascii="Geometr706 Md TL" w:hAnsi="Geometr706 Md TL"/>
          <w:sz w:val="20"/>
          <w:szCs w:val="20"/>
        </w:rPr>
        <w:t>PTAC sniegto konsultāciju skaitam no 2005. gada līdz 2009. gadam bija vērojams pieaugums, savukārt no 2010. gada līdz 2012. gadam to skaits samazinājās. 2013. gadā, salīdzinot ar 2012. gadu (35 007 konsultācijas), sniegto konsultāciju skaits ir nedaudz palielinājies – par 19 konsultācijām vai par 0,5 %.</w:t>
      </w:r>
    </w:p>
    <w:p w:rsidR="003179A2" w:rsidRDefault="003179A2" w:rsidP="00FB7347">
      <w:pPr>
        <w:tabs>
          <w:tab w:val="left" w:pos="709"/>
        </w:tabs>
        <w:spacing w:line="240" w:lineRule="auto"/>
        <w:ind w:firstLine="540"/>
        <w:jc w:val="both"/>
        <w:rPr>
          <w:rFonts w:ascii="Geometr706 Md TL" w:hAnsi="Geometr706 Md TL"/>
        </w:rPr>
      </w:pPr>
    </w:p>
    <w:p w:rsidR="00256E7F" w:rsidRPr="00FB7347" w:rsidRDefault="00256E7F" w:rsidP="00FB7347">
      <w:pPr>
        <w:tabs>
          <w:tab w:val="left" w:pos="709"/>
        </w:tabs>
        <w:spacing w:line="240" w:lineRule="auto"/>
        <w:ind w:firstLine="540"/>
        <w:jc w:val="both"/>
        <w:rPr>
          <w:rFonts w:ascii="Geometr706 Md TL" w:hAnsi="Geometr706 Md TL"/>
          <w:sz w:val="20"/>
          <w:szCs w:val="20"/>
        </w:rPr>
      </w:pPr>
      <w:r w:rsidRPr="003179A2">
        <w:rPr>
          <w:rFonts w:ascii="Geometr706 Md TL" w:hAnsi="Geometr706 Md TL"/>
          <w:sz w:val="20"/>
          <w:szCs w:val="20"/>
        </w:rPr>
        <w:t>2</w:t>
      </w:r>
      <w:r w:rsidRPr="00FB7347">
        <w:rPr>
          <w:rFonts w:ascii="Geometr706 Md TL" w:hAnsi="Geometr706 Md TL"/>
          <w:sz w:val="20"/>
          <w:szCs w:val="20"/>
        </w:rPr>
        <w:t>013. gadā patērētājiem un juridiskajām personām sniegtas 35 026 konsultācijas, t. sk. 30 411 konsultāciju fiziskām personām.</w:t>
      </w:r>
    </w:p>
    <w:p w:rsidR="00256E7F" w:rsidRPr="00FB7347" w:rsidRDefault="00256E7F" w:rsidP="00FB7347">
      <w:pPr>
        <w:tabs>
          <w:tab w:val="left" w:pos="709"/>
        </w:tabs>
        <w:spacing w:line="240" w:lineRule="auto"/>
        <w:jc w:val="both"/>
        <w:rPr>
          <w:rFonts w:ascii="Geometr706 Md TL" w:hAnsi="Geometr706 Md TL"/>
          <w:sz w:val="20"/>
          <w:szCs w:val="20"/>
        </w:rPr>
      </w:pPr>
      <w:r w:rsidRPr="00256E7F">
        <w:rPr>
          <w:rFonts w:ascii="Geometr706 Md TL" w:hAnsi="Geometr706 Md TL"/>
        </w:rPr>
        <w:tab/>
      </w:r>
      <w:r w:rsidRPr="00FB7347">
        <w:rPr>
          <w:rFonts w:ascii="Geometr706 Md TL" w:hAnsi="Geometr706 Md TL"/>
          <w:sz w:val="20"/>
          <w:szCs w:val="20"/>
        </w:rPr>
        <w:t>Galvenās tēmas, par kurām sniegtas konsultācijas:</w:t>
      </w:r>
    </w:p>
    <w:p w:rsidR="00256E7F" w:rsidRPr="00FB7347" w:rsidRDefault="00256E7F" w:rsidP="00FB7347">
      <w:pPr>
        <w:numPr>
          <w:ilvl w:val="0"/>
          <w:numId w:val="32"/>
        </w:numPr>
        <w:tabs>
          <w:tab w:val="left" w:pos="720"/>
        </w:tabs>
        <w:spacing w:after="0" w:line="240" w:lineRule="auto"/>
        <w:jc w:val="both"/>
        <w:rPr>
          <w:rFonts w:ascii="Geometr706 Md TL" w:hAnsi="Geometr706 Md TL"/>
          <w:sz w:val="20"/>
          <w:szCs w:val="20"/>
        </w:rPr>
      </w:pPr>
      <w:r w:rsidRPr="00FB7347">
        <w:rPr>
          <w:rFonts w:ascii="Geometr706 Md TL" w:hAnsi="Geometr706 Md TL"/>
          <w:sz w:val="20"/>
          <w:szCs w:val="20"/>
        </w:rPr>
        <w:t>par precēm – 18 398 konsultācijas;</w:t>
      </w:r>
    </w:p>
    <w:p w:rsidR="00256E7F" w:rsidRPr="00FB7347" w:rsidRDefault="00256E7F" w:rsidP="00FB7347">
      <w:pPr>
        <w:numPr>
          <w:ilvl w:val="0"/>
          <w:numId w:val="32"/>
        </w:numPr>
        <w:tabs>
          <w:tab w:val="left" w:pos="720"/>
        </w:tabs>
        <w:spacing w:after="0" w:line="240" w:lineRule="auto"/>
        <w:jc w:val="both"/>
        <w:rPr>
          <w:rFonts w:ascii="Geometr706 Md TL" w:hAnsi="Geometr706 Md TL"/>
          <w:sz w:val="20"/>
          <w:szCs w:val="20"/>
        </w:rPr>
      </w:pPr>
      <w:r w:rsidRPr="00FB7347">
        <w:rPr>
          <w:rFonts w:ascii="Geometr706 Md TL" w:hAnsi="Geometr706 Md TL"/>
          <w:sz w:val="20"/>
          <w:szCs w:val="20"/>
        </w:rPr>
        <w:t>par pakalpojumiem – 5778 konsultācijas;</w:t>
      </w:r>
    </w:p>
    <w:p w:rsidR="00256E7F" w:rsidRPr="00FB7347" w:rsidRDefault="00256E7F" w:rsidP="00FB7347">
      <w:pPr>
        <w:numPr>
          <w:ilvl w:val="0"/>
          <w:numId w:val="32"/>
        </w:numPr>
        <w:tabs>
          <w:tab w:val="left" w:pos="720"/>
        </w:tabs>
        <w:spacing w:after="0" w:line="240" w:lineRule="auto"/>
        <w:jc w:val="both"/>
        <w:rPr>
          <w:rFonts w:ascii="Geometr706 Md TL" w:hAnsi="Geometr706 Md TL"/>
          <w:sz w:val="20"/>
          <w:szCs w:val="20"/>
        </w:rPr>
      </w:pPr>
      <w:r w:rsidRPr="00FB7347">
        <w:rPr>
          <w:rFonts w:ascii="Geometr706 Md TL" w:hAnsi="Geometr706 Md TL"/>
          <w:sz w:val="20"/>
          <w:szCs w:val="20"/>
        </w:rPr>
        <w:t>par līgumiem – 2936 konsultācijas;</w:t>
      </w:r>
    </w:p>
    <w:p w:rsidR="00256E7F" w:rsidRPr="00FB7347" w:rsidRDefault="00256E7F" w:rsidP="00FB7347">
      <w:pPr>
        <w:numPr>
          <w:ilvl w:val="0"/>
          <w:numId w:val="32"/>
        </w:numPr>
        <w:tabs>
          <w:tab w:val="left" w:pos="720"/>
        </w:tabs>
        <w:spacing w:after="0" w:line="240" w:lineRule="auto"/>
        <w:jc w:val="both"/>
        <w:rPr>
          <w:rFonts w:ascii="Geometr706 Md TL" w:hAnsi="Geometr706 Md TL"/>
          <w:sz w:val="20"/>
          <w:szCs w:val="20"/>
        </w:rPr>
      </w:pPr>
      <w:r w:rsidRPr="00FB7347">
        <w:rPr>
          <w:rFonts w:ascii="Geometr706 Md TL" w:hAnsi="Geometr706 Md TL"/>
          <w:sz w:val="20"/>
          <w:szCs w:val="20"/>
        </w:rPr>
        <w:t>par reklāmas, komercprakses, e-komercijas jautājumiem – 751 konsultācija;</w:t>
      </w:r>
    </w:p>
    <w:p w:rsidR="00256E7F" w:rsidRPr="00FB7347" w:rsidRDefault="00256E7F" w:rsidP="00FB7347">
      <w:pPr>
        <w:numPr>
          <w:ilvl w:val="0"/>
          <w:numId w:val="32"/>
        </w:numPr>
        <w:tabs>
          <w:tab w:val="left" w:pos="720"/>
        </w:tabs>
        <w:spacing w:after="0" w:line="240" w:lineRule="auto"/>
        <w:jc w:val="both"/>
        <w:rPr>
          <w:rFonts w:ascii="Geometr706 Md TL" w:hAnsi="Geometr706 Md TL"/>
          <w:sz w:val="20"/>
          <w:szCs w:val="20"/>
        </w:rPr>
      </w:pPr>
      <w:r w:rsidRPr="00FB7347">
        <w:rPr>
          <w:rFonts w:ascii="Geometr706 Md TL" w:hAnsi="Geometr706 Md TL"/>
          <w:sz w:val="20"/>
          <w:szCs w:val="20"/>
        </w:rPr>
        <w:t>par tirgus uzraudzību – 1262 konsultācijas;</w:t>
      </w:r>
    </w:p>
    <w:p w:rsidR="00256E7F" w:rsidRPr="00FB7347" w:rsidRDefault="00256E7F" w:rsidP="00FB7347">
      <w:pPr>
        <w:numPr>
          <w:ilvl w:val="0"/>
          <w:numId w:val="32"/>
        </w:numPr>
        <w:tabs>
          <w:tab w:val="left" w:pos="720"/>
        </w:tabs>
        <w:spacing w:after="0" w:line="240" w:lineRule="auto"/>
        <w:jc w:val="both"/>
        <w:rPr>
          <w:rFonts w:ascii="Geometr706 Md TL" w:hAnsi="Geometr706 Md TL"/>
          <w:sz w:val="20"/>
          <w:szCs w:val="20"/>
        </w:rPr>
      </w:pPr>
      <w:r w:rsidRPr="00FB7347">
        <w:rPr>
          <w:rFonts w:ascii="Geometr706 Md TL" w:hAnsi="Geometr706 Md TL"/>
          <w:sz w:val="20"/>
          <w:szCs w:val="20"/>
        </w:rPr>
        <w:t>par metroloģisko uzraudzību – 79 konsultācijas;</w:t>
      </w:r>
    </w:p>
    <w:p w:rsidR="00256E7F" w:rsidRPr="00FB7347" w:rsidRDefault="00256E7F" w:rsidP="00FB7347">
      <w:pPr>
        <w:numPr>
          <w:ilvl w:val="0"/>
          <w:numId w:val="32"/>
        </w:numPr>
        <w:tabs>
          <w:tab w:val="left" w:pos="720"/>
        </w:tabs>
        <w:spacing w:after="0" w:line="240" w:lineRule="auto"/>
        <w:jc w:val="both"/>
        <w:rPr>
          <w:rFonts w:ascii="Geometr706 Md TL" w:hAnsi="Geometr706 Md TL"/>
          <w:sz w:val="20"/>
          <w:szCs w:val="20"/>
        </w:rPr>
      </w:pPr>
      <w:r w:rsidRPr="00FB7347">
        <w:rPr>
          <w:rFonts w:ascii="Geometr706 Md TL" w:hAnsi="Geometr706 Md TL"/>
          <w:sz w:val="20"/>
          <w:szCs w:val="20"/>
        </w:rPr>
        <w:t>par bīstamo iekārtu uzraudzību – 139 konsultācijas;</w:t>
      </w:r>
    </w:p>
    <w:p w:rsidR="00256E7F" w:rsidRPr="00FB7347" w:rsidRDefault="00256E7F" w:rsidP="00FB7347">
      <w:pPr>
        <w:numPr>
          <w:ilvl w:val="0"/>
          <w:numId w:val="32"/>
        </w:numPr>
        <w:tabs>
          <w:tab w:val="left" w:pos="720"/>
        </w:tabs>
        <w:spacing w:after="0" w:line="240" w:lineRule="auto"/>
        <w:jc w:val="both"/>
        <w:rPr>
          <w:rFonts w:ascii="Geometr706 Md TL" w:hAnsi="Geometr706 Md TL"/>
          <w:sz w:val="20"/>
          <w:szCs w:val="20"/>
        </w:rPr>
      </w:pPr>
      <w:r w:rsidRPr="00FB7347">
        <w:rPr>
          <w:rFonts w:ascii="Geometr706 Md TL" w:hAnsi="Geometr706 Md TL"/>
          <w:sz w:val="20"/>
          <w:szCs w:val="20"/>
        </w:rPr>
        <w:lastRenderedPageBreak/>
        <w:t>par licencēšanu – 268 konsultācijas;</w:t>
      </w:r>
    </w:p>
    <w:p w:rsidR="00256E7F" w:rsidRPr="00FB7347" w:rsidRDefault="00256E7F" w:rsidP="00FB7347">
      <w:pPr>
        <w:numPr>
          <w:ilvl w:val="0"/>
          <w:numId w:val="32"/>
        </w:numPr>
        <w:tabs>
          <w:tab w:val="left" w:pos="720"/>
        </w:tabs>
        <w:spacing w:after="0" w:line="240" w:lineRule="auto"/>
        <w:jc w:val="both"/>
        <w:rPr>
          <w:rFonts w:ascii="Geometr706 Md TL" w:hAnsi="Geometr706 Md TL"/>
          <w:sz w:val="20"/>
          <w:szCs w:val="20"/>
        </w:rPr>
      </w:pPr>
      <w:r w:rsidRPr="00FB7347">
        <w:rPr>
          <w:rFonts w:ascii="Geometr706 Md TL" w:hAnsi="Geometr706 Md TL"/>
          <w:sz w:val="20"/>
          <w:szCs w:val="20"/>
        </w:rPr>
        <w:t>par citām kategorijām – 5415 konsultāciju.</w:t>
      </w:r>
    </w:p>
    <w:p w:rsidR="00256E7F" w:rsidRPr="00FB7347" w:rsidRDefault="00256E7F" w:rsidP="00FB7347">
      <w:pPr>
        <w:tabs>
          <w:tab w:val="left" w:pos="720"/>
        </w:tabs>
        <w:spacing w:line="240" w:lineRule="auto"/>
        <w:jc w:val="both"/>
        <w:rPr>
          <w:rFonts w:ascii="Geometr706 Md TL" w:hAnsi="Geometr706 Md TL"/>
          <w:sz w:val="20"/>
          <w:szCs w:val="20"/>
        </w:rPr>
      </w:pPr>
      <w:r w:rsidRPr="00FB7347">
        <w:rPr>
          <w:rFonts w:ascii="Geometr706 Md TL" w:hAnsi="Geometr706 Md TL"/>
          <w:sz w:val="20"/>
          <w:szCs w:val="20"/>
        </w:rPr>
        <w:tab/>
        <w:t>Visvairāk patērētāji interesējas par to, kā viņiem rīkoties, kad ir iegādājušies nekvalitatīvu preci vai saņēmuši nekvalitatīvu pakalpojumu, kādas ir patērētāju tiesības konkrētajā situācijā (visvairāk jautājumu ir par apaviem, mobilajiem telefoniem, elektroprecēm, elektronisko sakaru pakalpojumiem, distances līgumu pakalpojumiem un avio pakalpojumiem), kā rīkoties, ja nav izpildīts preces piegādes vai pakalpojuma izpildes termiņš.</w:t>
      </w:r>
    </w:p>
    <w:p w:rsidR="00256E7F" w:rsidRPr="00FB7347" w:rsidRDefault="00256E7F" w:rsidP="00FB7347">
      <w:pPr>
        <w:tabs>
          <w:tab w:val="left" w:pos="709"/>
        </w:tabs>
        <w:spacing w:line="240" w:lineRule="auto"/>
        <w:jc w:val="both"/>
        <w:rPr>
          <w:rFonts w:ascii="Geometr706 Md TL" w:hAnsi="Geometr706 Md TL"/>
          <w:sz w:val="20"/>
          <w:szCs w:val="20"/>
        </w:rPr>
      </w:pPr>
      <w:r w:rsidRPr="00FB7347">
        <w:rPr>
          <w:rFonts w:ascii="Geometr706 Md TL" w:hAnsi="Geometr706 Md TL"/>
          <w:sz w:val="20"/>
          <w:szCs w:val="20"/>
        </w:rPr>
        <w:tab/>
        <w:t>Daudzi patērētāji interesējas arī par jautājumiem, kas nav PTAC kompetencē vai par kuriem PTAC nav tiesīgs pieņemt saistošu lēmumu, tikai sniegt konsultāciju, īpaši par elektronisko sakaru kvalitāti, apdrošināšanas atlīdzības izmaksām, par komunālajiem pakalpojumiem, kā arī pārtikas precēm. Patērētāji vēlas saņemt konsultācijas par dzīvojamo māju apsaimniekošanu vai to pārvaldīšanu (dzīvokļu īpašnieku un īrnieku neapmierinātība), ūdens zuduma sadali starp mājas iedzīvotājiem, kā arī nepamatoti paaugstinātu apsaimniekošanas vai īres maksu.</w:t>
      </w:r>
    </w:p>
    <w:p w:rsidR="00256E7F" w:rsidRPr="00256E7F" w:rsidRDefault="00256E7F" w:rsidP="00FB7347">
      <w:pPr>
        <w:pStyle w:val="Heading3"/>
        <w:spacing w:after="240"/>
        <w:jc w:val="center"/>
        <w:rPr>
          <w:rFonts w:ascii="Geometr706 Md TL" w:hAnsi="Geometr706 Md TL"/>
        </w:rPr>
      </w:pPr>
      <w:bookmarkStart w:id="66" w:name="_2.3.8._Uzņēmēju_konsultēšana"/>
      <w:bookmarkStart w:id="67" w:name="_Toc380143881"/>
      <w:bookmarkStart w:id="68" w:name="_Toc380147121"/>
      <w:bookmarkStart w:id="69" w:name="_Toc392836107"/>
      <w:bookmarkEnd w:id="66"/>
      <w:r w:rsidRPr="00256E7F">
        <w:rPr>
          <w:rFonts w:ascii="Geometr706 Md TL" w:hAnsi="Geometr706 Md TL"/>
        </w:rPr>
        <w:t>2.3.8. Uzņēmēju konsultēšana un informēšana</w:t>
      </w:r>
      <w:bookmarkEnd w:id="67"/>
      <w:bookmarkEnd w:id="68"/>
      <w:bookmarkEnd w:id="69"/>
    </w:p>
    <w:p w:rsidR="00256E7F" w:rsidRPr="00FB7347" w:rsidRDefault="00256E7F" w:rsidP="00FB7347">
      <w:pPr>
        <w:spacing w:line="240" w:lineRule="auto"/>
        <w:ind w:right="41" w:firstLine="709"/>
        <w:jc w:val="both"/>
        <w:rPr>
          <w:rFonts w:ascii="Geometr706 Md TL" w:hAnsi="Geometr706 Md TL"/>
          <w:sz w:val="20"/>
          <w:szCs w:val="20"/>
        </w:rPr>
      </w:pPr>
      <w:r w:rsidRPr="00FB7347">
        <w:rPr>
          <w:rFonts w:ascii="Geometr706 Md TL" w:hAnsi="Geometr706 Md TL"/>
          <w:sz w:val="20"/>
          <w:szCs w:val="20"/>
        </w:rPr>
        <w:t>2013. gadā 4369 konsultācijas ir sniegta juridiskajām personām (uzņēmējiem), 246 konsultācijas – iestādēm.</w:t>
      </w:r>
    </w:p>
    <w:p w:rsidR="00256E7F" w:rsidRPr="00FB7347" w:rsidRDefault="00256E7F" w:rsidP="00FB7347">
      <w:pPr>
        <w:spacing w:line="240" w:lineRule="auto"/>
        <w:ind w:firstLine="720"/>
        <w:jc w:val="both"/>
        <w:rPr>
          <w:rFonts w:ascii="Geometr706 Md TL" w:hAnsi="Geometr706 Md TL"/>
          <w:bCs/>
          <w:sz w:val="20"/>
          <w:szCs w:val="20"/>
        </w:rPr>
      </w:pPr>
      <w:r w:rsidRPr="00FB7347">
        <w:rPr>
          <w:rFonts w:ascii="Geometr706 Md TL" w:hAnsi="Geometr706 Md TL"/>
          <w:bCs/>
          <w:sz w:val="20"/>
          <w:szCs w:val="20"/>
        </w:rPr>
        <w:t>Pārskata periodā PTAC organizējis vairākus pasākumus komersantiem: 27. maijā PTAC sadarbībā SIA „</w:t>
      </w:r>
      <w:proofErr w:type="spellStart"/>
      <w:r w:rsidRPr="00FB7347">
        <w:rPr>
          <w:rFonts w:ascii="Geometr706 Md TL" w:hAnsi="Geometr706 Md TL"/>
          <w:bCs/>
          <w:sz w:val="20"/>
          <w:szCs w:val="20"/>
        </w:rPr>
        <w:t>Ekodoma</w:t>
      </w:r>
      <w:proofErr w:type="spellEnd"/>
      <w:r w:rsidRPr="00FB7347">
        <w:rPr>
          <w:rFonts w:ascii="Geometr706 Md TL" w:hAnsi="Geometr706 Md TL"/>
          <w:bCs/>
          <w:sz w:val="20"/>
          <w:szCs w:val="20"/>
        </w:rPr>
        <w:t>” organizēja semināru „</w:t>
      </w:r>
      <w:r w:rsidRPr="00FB7347">
        <w:rPr>
          <w:rFonts w:ascii="Geometr706 Md TL" w:hAnsi="Geometr706 Md TL"/>
          <w:sz w:val="20"/>
          <w:szCs w:val="20"/>
        </w:rPr>
        <w:t xml:space="preserve">Sadzīves tehnikas energomarķējums”; </w:t>
      </w:r>
      <w:r w:rsidRPr="00FB7347">
        <w:rPr>
          <w:rFonts w:ascii="Geometr706 Md TL" w:hAnsi="Geometr706 Md TL"/>
          <w:bCs/>
          <w:sz w:val="20"/>
          <w:szCs w:val="20"/>
        </w:rPr>
        <w:t>30. maijā tika organizēts seminārs „Preču un pakalpojumu cenu norādīšana, pārejot uz eiro, – prasības paralēlās cenu atspoguļošanas periodā”; 14. jūnijā – seminārs nozares komersantiem „Izmaiņas reglamentētās sfēras būvizstrādājumu regulējumā”; 27. jūnijā – diskusija komersantiem par vadlīnijām kolektīvās iepirkšanās jomā; 28. jūnijā – diskusija komersantiem par vadlīnijām patērētāju maksātspējas vērtēšanai; 11. septembrī – seminārs slēpošanas trašu valdītājiem par PTAC veikto pārbaužu rezultātiem, vadlīniju prasībām un citiem ar slēpošanas trašu drošumu saistītiem jautājumiem. PTAC pārstāvji kā lektori ir piedalījušies citu organizāciju organizētajās konferencēs un semināros, piemēram, „H &amp; M” organizētajā seminārā veikala darbiniekiem par prasījuma pieteikuma izskatīšanu, Latvijas Tirgotāju savienības seminārā par cenu paralēlo atspog</w:t>
      </w:r>
      <w:r w:rsidR="00FB7347">
        <w:rPr>
          <w:rFonts w:ascii="Geometr706 Md TL" w:hAnsi="Geometr706 Md TL"/>
          <w:bCs/>
          <w:sz w:val="20"/>
          <w:szCs w:val="20"/>
        </w:rPr>
        <w:t>uļošanu u. c.</w:t>
      </w:r>
    </w:p>
    <w:p w:rsidR="00256E7F" w:rsidRPr="00256E7F" w:rsidRDefault="00256E7F" w:rsidP="00256E7F">
      <w:pPr>
        <w:spacing w:line="240" w:lineRule="auto"/>
        <w:jc w:val="center"/>
        <w:rPr>
          <w:rFonts w:ascii="Geometr706 Md TL" w:hAnsi="Geometr706 Md TL"/>
        </w:rPr>
      </w:pPr>
      <w:r w:rsidRPr="00256E7F">
        <w:rPr>
          <w:rFonts w:ascii="Geometr706 Md TL" w:hAnsi="Geometr706 Md TL"/>
          <w:noProof/>
          <w:lang w:eastAsia="lv-LV"/>
        </w:rPr>
        <w:drawing>
          <wp:inline distT="0" distB="0" distL="0" distR="0" wp14:anchorId="4E351F0C" wp14:editId="66F4EDEB">
            <wp:extent cx="3683358" cy="27627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9-20 13.32.27.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94214" cy="2770882"/>
                    </a:xfrm>
                    <a:prstGeom prst="rect">
                      <a:avLst/>
                    </a:prstGeom>
                  </pic:spPr>
                </pic:pic>
              </a:graphicData>
            </a:graphic>
          </wp:inline>
        </w:drawing>
      </w:r>
    </w:p>
    <w:p w:rsidR="00256E7F" w:rsidRPr="00FB7347" w:rsidRDefault="00256E7F" w:rsidP="003179A2">
      <w:pPr>
        <w:spacing w:line="240" w:lineRule="auto"/>
        <w:jc w:val="center"/>
        <w:rPr>
          <w:rFonts w:ascii="Geometr706 Md TL" w:hAnsi="Geometr706 Md TL"/>
          <w:b/>
          <w:i/>
          <w:sz w:val="20"/>
          <w:szCs w:val="20"/>
        </w:rPr>
      </w:pPr>
      <w:r w:rsidRPr="00FB7347">
        <w:rPr>
          <w:rFonts w:ascii="Geometr706 Md TL" w:hAnsi="Geometr706 Md TL"/>
          <w:b/>
          <w:i/>
          <w:sz w:val="20"/>
          <w:szCs w:val="20"/>
        </w:rPr>
        <w:t xml:space="preserve">20.09.2013. </w:t>
      </w:r>
      <w:proofErr w:type="spellStart"/>
      <w:r w:rsidRPr="00FB7347">
        <w:rPr>
          <w:rFonts w:ascii="Geometr706 Md TL" w:hAnsi="Geometr706 Md TL"/>
          <w:b/>
          <w:i/>
          <w:sz w:val="20"/>
          <w:szCs w:val="20"/>
        </w:rPr>
        <w:t>Eirodiena</w:t>
      </w:r>
      <w:proofErr w:type="spellEnd"/>
      <w:r w:rsidRPr="00FB7347">
        <w:rPr>
          <w:rFonts w:ascii="Geometr706 Md TL" w:hAnsi="Geometr706 Md TL"/>
          <w:b/>
          <w:i/>
          <w:sz w:val="20"/>
          <w:szCs w:val="20"/>
        </w:rPr>
        <w:t xml:space="preserve"> Kurzemē – PTAC informatīvais stends</w:t>
      </w:r>
    </w:p>
    <w:p w:rsidR="00256E7F" w:rsidRPr="00FB7347" w:rsidRDefault="00256E7F" w:rsidP="00FB7347">
      <w:pPr>
        <w:spacing w:line="240" w:lineRule="auto"/>
        <w:ind w:firstLine="720"/>
        <w:jc w:val="both"/>
        <w:rPr>
          <w:rFonts w:ascii="Geometr706 Md TL" w:hAnsi="Geometr706 Md TL"/>
          <w:bCs/>
          <w:sz w:val="20"/>
          <w:szCs w:val="20"/>
        </w:rPr>
      </w:pPr>
      <w:r w:rsidRPr="00FB7347">
        <w:rPr>
          <w:rFonts w:ascii="Geometr706 Md TL" w:hAnsi="Geometr706 Md TL"/>
          <w:bCs/>
          <w:sz w:val="20"/>
          <w:szCs w:val="20"/>
        </w:rPr>
        <w:lastRenderedPageBreak/>
        <w:t xml:space="preserve">Eiro ieviešanas projekta ietvaros PTAC pārstāvji piedalījās patērētājiem un komersantiem adresētos pasākumos – reģionālā mēroga </w:t>
      </w:r>
      <w:proofErr w:type="spellStart"/>
      <w:r w:rsidRPr="00FB7347">
        <w:rPr>
          <w:rFonts w:ascii="Geometr706 Md TL" w:hAnsi="Geometr706 Md TL"/>
          <w:bCs/>
          <w:sz w:val="20"/>
          <w:szCs w:val="20"/>
        </w:rPr>
        <w:t>eirodienās</w:t>
      </w:r>
      <w:proofErr w:type="spellEnd"/>
      <w:r w:rsidRPr="00FB7347">
        <w:rPr>
          <w:rFonts w:ascii="Geometr706 Md TL" w:hAnsi="Geometr706 Md TL"/>
          <w:bCs/>
          <w:sz w:val="20"/>
          <w:szCs w:val="20"/>
        </w:rPr>
        <w:t xml:space="preserve"> Ventspilī, Liepājā, Jelgavā, Valmierā un Daugavpilī, Finanšu ministrijas organizētajos semināros komersantiem, lai sagatavotos eiro ieviešanai Latvijā.</w:t>
      </w:r>
    </w:p>
    <w:p w:rsidR="003179A2" w:rsidRDefault="003179A2">
      <w:pPr>
        <w:rPr>
          <w:rFonts w:ascii="Geometr706 Md TL" w:eastAsiaTheme="majorEastAsia" w:hAnsi="Geometr706 Md TL" w:cstheme="majorBidi"/>
          <w:b/>
          <w:bCs/>
          <w:color w:val="4F81BD" w:themeColor="accent1"/>
        </w:rPr>
      </w:pPr>
      <w:bookmarkStart w:id="70" w:name="_2.3.9._Administratīvo_pārkāpumu"/>
      <w:bookmarkStart w:id="71" w:name="_Toc380143882"/>
      <w:bookmarkStart w:id="72" w:name="_Toc380147122"/>
      <w:bookmarkStart w:id="73" w:name="_Toc392836108"/>
      <w:bookmarkEnd w:id="70"/>
    </w:p>
    <w:p w:rsidR="00256E7F" w:rsidRPr="00256E7F" w:rsidRDefault="00256E7F" w:rsidP="00256E7F">
      <w:pPr>
        <w:pStyle w:val="Heading3"/>
        <w:spacing w:before="0" w:line="240" w:lineRule="auto"/>
        <w:jc w:val="center"/>
        <w:rPr>
          <w:rFonts w:ascii="Geometr706 Md TL" w:hAnsi="Geometr706 Md TL"/>
        </w:rPr>
      </w:pPr>
      <w:r w:rsidRPr="00256E7F">
        <w:rPr>
          <w:rFonts w:ascii="Geometr706 Md TL" w:hAnsi="Geometr706 Md TL"/>
        </w:rPr>
        <w:t>2.3.9. Administratīvo pārkāpumu lietu izskatīšana, sodu piemērošana un lēmumu piespiedu izpilde</w:t>
      </w:r>
      <w:bookmarkEnd w:id="71"/>
      <w:bookmarkEnd w:id="72"/>
      <w:bookmarkEnd w:id="73"/>
    </w:p>
    <w:p w:rsidR="00256E7F" w:rsidRPr="00256E7F" w:rsidRDefault="00256E7F" w:rsidP="00256E7F">
      <w:pPr>
        <w:rPr>
          <w:rFonts w:ascii="Geometr706 Md TL" w:hAnsi="Geometr706 Md TL"/>
        </w:rPr>
      </w:pPr>
    </w:p>
    <w:p w:rsidR="00256E7F" w:rsidRPr="00FB7347" w:rsidRDefault="00256E7F" w:rsidP="00256E7F">
      <w:pPr>
        <w:spacing w:line="240" w:lineRule="auto"/>
        <w:ind w:firstLine="720"/>
        <w:rPr>
          <w:rFonts w:ascii="Geometr706 Md TL" w:hAnsi="Geometr706 Md TL"/>
          <w:sz w:val="20"/>
          <w:szCs w:val="20"/>
        </w:rPr>
      </w:pPr>
      <w:r w:rsidRPr="00FB7347">
        <w:rPr>
          <w:rFonts w:ascii="Geometr706 Md TL" w:hAnsi="Geometr706 Md TL"/>
          <w:sz w:val="20"/>
          <w:szCs w:val="20"/>
        </w:rPr>
        <w:t>2013. gadā izskatītas 264 administratīvo pārkāpumu lietas un piemēroti naudas sodi 66 890 latu apmērā.</w:t>
      </w:r>
    </w:p>
    <w:p w:rsidR="00256E7F" w:rsidRPr="00256E7F" w:rsidRDefault="00256E7F" w:rsidP="00256E7F">
      <w:pPr>
        <w:spacing w:before="120"/>
        <w:ind w:right="40" w:firstLine="720"/>
        <w:jc w:val="right"/>
        <w:rPr>
          <w:rFonts w:ascii="Geometr706 Md TL" w:hAnsi="Geometr706 Md TL"/>
          <w:b/>
          <w:i/>
          <w:sz w:val="23"/>
          <w:szCs w:val="23"/>
        </w:rPr>
      </w:pPr>
      <w:r w:rsidRPr="00256E7F">
        <w:rPr>
          <w:rFonts w:ascii="Geometr706 Md TL" w:hAnsi="Geometr706 Md TL"/>
          <w:b/>
          <w:i/>
          <w:sz w:val="23"/>
          <w:szCs w:val="23"/>
        </w:rPr>
        <w:t>2.3.9. tabula</w:t>
      </w:r>
    </w:p>
    <w:p w:rsidR="00256E7F" w:rsidRPr="00256E7F" w:rsidRDefault="00256E7F" w:rsidP="00256E7F">
      <w:pPr>
        <w:ind w:right="40" w:firstLine="720"/>
        <w:jc w:val="center"/>
        <w:rPr>
          <w:rFonts w:ascii="Geometr706 Md TL" w:hAnsi="Geometr706 Md TL"/>
          <w:b/>
          <w:sz w:val="23"/>
          <w:szCs w:val="23"/>
        </w:rPr>
      </w:pPr>
      <w:r w:rsidRPr="00256E7F">
        <w:rPr>
          <w:rFonts w:ascii="Geometr706 Md TL" w:hAnsi="Geometr706 Md TL"/>
          <w:b/>
          <w:sz w:val="23"/>
          <w:szCs w:val="23"/>
        </w:rPr>
        <w:t>Administratīvo pārkāpumu lietu izskatīšana</w:t>
      </w:r>
    </w:p>
    <w:tbl>
      <w:tblPr>
        <w:tblStyle w:val="LightGrid-Accent11"/>
        <w:tblpPr w:leftFromText="180" w:rightFromText="180" w:vertAnchor="text" w:horzAnchor="margin" w:tblpXSpec="center" w:tblpY="196"/>
        <w:tblW w:w="9211" w:type="dxa"/>
        <w:tblLook w:val="06A0" w:firstRow="1" w:lastRow="0" w:firstColumn="1" w:lastColumn="0" w:noHBand="1" w:noVBand="1"/>
      </w:tblPr>
      <w:tblGrid>
        <w:gridCol w:w="1107"/>
        <w:gridCol w:w="2909"/>
        <w:gridCol w:w="1481"/>
        <w:gridCol w:w="1237"/>
        <w:gridCol w:w="1481"/>
        <w:gridCol w:w="1237"/>
      </w:tblGrid>
      <w:tr w:rsidR="00256E7F" w:rsidRPr="00256E7F" w:rsidTr="00256E7F">
        <w:trPr>
          <w:cnfStyle w:val="100000000000" w:firstRow="1" w:lastRow="0" w:firstColumn="0" w:lastColumn="0" w:oddVBand="0" w:evenVBand="0" w:oddHBand="0" w:evenHBand="0" w:firstRowFirstColumn="0" w:firstRowLastColumn="0" w:lastRowFirstColumn="0" w:lastRowLastColumn="0"/>
          <w:trHeight w:val="1485"/>
        </w:trPr>
        <w:tc>
          <w:tcPr>
            <w:cnfStyle w:val="001000000000" w:firstRow="0" w:lastRow="0" w:firstColumn="1" w:lastColumn="0" w:oddVBand="0" w:evenVBand="0" w:oddHBand="0" w:evenHBand="0" w:firstRowFirstColumn="0" w:firstRowLastColumn="0" w:lastRowFirstColumn="0" w:lastRowLastColumn="0"/>
            <w:tcW w:w="1027" w:type="dxa"/>
            <w:vAlign w:val="center"/>
          </w:tcPr>
          <w:p w:rsidR="00256E7F" w:rsidRPr="00256E7F" w:rsidRDefault="00256E7F" w:rsidP="00256E7F">
            <w:pPr>
              <w:ind w:right="41"/>
              <w:jc w:val="center"/>
              <w:rPr>
                <w:rFonts w:ascii="Geometr706 Md TL" w:hAnsi="Geometr706 Md TL"/>
                <w:color w:val="000000"/>
                <w:sz w:val="18"/>
                <w:szCs w:val="18"/>
              </w:rPr>
            </w:pPr>
            <w:r w:rsidRPr="00256E7F">
              <w:rPr>
                <w:rFonts w:ascii="Geometr706 Md TL" w:hAnsi="Geometr706 Md TL"/>
                <w:color w:val="000000"/>
                <w:sz w:val="18"/>
                <w:szCs w:val="18"/>
              </w:rPr>
              <w:t>Piemērots pants</w:t>
            </w:r>
          </w:p>
        </w:tc>
        <w:tc>
          <w:tcPr>
            <w:tcW w:w="2909" w:type="dxa"/>
            <w:vAlign w:val="center"/>
          </w:tcPr>
          <w:p w:rsidR="00256E7F" w:rsidRPr="00256E7F" w:rsidRDefault="00256E7F" w:rsidP="00256E7F">
            <w:pPr>
              <w:ind w:right="41"/>
              <w:jc w:val="center"/>
              <w:cnfStyle w:val="100000000000" w:firstRow="1"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Būtība</w:t>
            </w:r>
          </w:p>
        </w:tc>
        <w:tc>
          <w:tcPr>
            <w:tcW w:w="1388" w:type="dxa"/>
            <w:vAlign w:val="center"/>
          </w:tcPr>
          <w:p w:rsidR="00256E7F" w:rsidRPr="00256E7F" w:rsidRDefault="00256E7F" w:rsidP="00256E7F">
            <w:pPr>
              <w:ind w:right="41"/>
              <w:jc w:val="center"/>
              <w:cnfStyle w:val="100000000000" w:firstRow="1"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Izskatītas administratīvo pārkāpumu lietas 2012. gadā</w:t>
            </w:r>
          </w:p>
        </w:tc>
        <w:tc>
          <w:tcPr>
            <w:tcW w:w="1111" w:type="dxa"/>
            <w:vAlign w:val="center"/>
          </w:tcPr>
          <w:p w:rsidR="00256E7F" w:rsidRPr="00256E7F" w:rsidRDefault="00256E7F" w:rsidP="00256E7F">
            <w:pPr>
              <w:ind w:right="41"/>
              <w:jc w:val="center"/>
              <w:cnfStyle w:val="100000000000" w:firstRow="1"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Piemērots naudas sods (LVL) 2012. gadā</w:t>
            </w:r>
          </w:p>
        </w:tc>
        <w:tc>
          <w:tcPr>
            <w:tcW w:w="1388" w:type="dxa"/>
            <w:vAlign w:val="center"/>
          </w:tcPr>
          <w:p w:rsidR="00256E7F" w:rsidRPr="00256E7F" w:rsidRDefault="00256E7F" w:rsidP="00256E7F">
            <w:pPr>
              <w:ind w:right="41"/>
              <w:jc w:val="center"/>
              <w:cnfStyle w:val="100000000000" w:firstRow="1"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Izskatītas administratīvo pārkāpumu lietas 2013. gadā</w:t>
            </w:r>
          </w:p>
        </w:tc>
        <w:tc>
          <w:tcPr>
            <w:tcW w:w="1388" w:type="dxa"/>
            <w:vAlign w:val="center"/>
          </w:tcPr>
          <w:p w:rsidR="00256E7F" w:rsidRPr="00256E7F" w:rsidRDefault="00256E7F" w:rsidP="00256E7F">
            <w:pPr>
              <w:ind w:right="41"/>
              <w:jc w:val="center"/>
              <w:cnfStyle w:val="100000000000" w:firstRow="1"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Piemērots naudas sods (LVL) 2013. gadā</w:t>
            </w:r>
          </w:p>
        </w:tc>
      </w:tr>
      <w:tr w:rsidR="00256E7F" w:rsidRPr="00256E7F" w:rsidTr="00256E7F">
        <w:trPr>
          <w:trHeight w:val="690"/>
        </w:trPr>
        <w:tc>
          <w:tcPr>
            <w:cnfStyle w:val="001000000000" w:firstRow="0" w:lastRow="0" w:firstColumn="1" w:lastColumn="0" w:oddVBand="0" w:evenVBand="0" w:oddHBand="0" w:evenHBand="0" w:firstRowFirstColumn="0" w:firstRowLastColumn="0" w:lastRowFirstColumn="0" w:lastRowLastColumn="0"/>
            <w:tcW w:w="1027" w:type="dxa"/>
            <w:shd w:val="clear" w:color="auto" w:fill="C6D9F1" w:themeFill="text2" w:themeFillTint="33"/>
            <w:vAlign w:val="center"/>
          </w:tcPr>
          <w:p w:rsidR="00256E7F" w:rsidRPr="00256E7F" w:rsidRDefault="00256E7F" w:rsidP="00256E7F">
            <w:pPr>
              <w:ind w:right="41"/>
              <w:jc w:val="center"/>
              <w:rPr>
                <w:rFonts w:ascii="Geometr706 Md TL" w:hAnsi="Geometr706 Md TL"/>
                <w:color w:val="000000"/>
                <w:sz w:val="18"/>
                <w:szCs w:val="18"/>
              </w:rPr>
            </w:pPr>
            <w:r w:rsidRPr="00256E7F">
              <w:rPr>
                <w:rFonts w:ascii="Geometr706 Md TL" w:hAnsi="Geometr706 Md TL"/>
                <w:color w:val="000000"/>
                <w:sz w:val="18"/>
                <w:szCs w:val="18"/>
              </w:rPr>
              <w:t>90. p.</w:t>
            </w:r>
          </w:p>
        </w:tc>
        <w:tc>
          <w:tcPr>
            <w:tcW w:w="2909" w:type="dxa"/>
            <w:shd w:val="clear" w:color="auto" w:fill="C6D9F1" w:themeFill="text2" w:themeFillTint="33"/>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Par bīstamo iekārtu tehnisko uzraudzību regulējošo normatīvo aktu pārkāpšanu vai par nereģistrētām bīstamām iekārtām</w:t>
            </w:r>
          </w:p>
        </w:tc>
        <w:tc>
          <w:tcPr>
            <w:tcW w:w="1388" w:type="dxa"/>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15</w:t>
            </w:r>
          </w:p>
        </w:tc>
        <w:tc>
          <w:tcPr>
            <w:tcW w:w="1111" w:type="dxa"/>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5190</w:t>
            </w:r>
          </w:p>
        </w:tc>
        <w:tc>
          <w:tcPr>
            <w:tcW w:w="1388" w:type="dxa"/>
            <w:shd w:val="clear" w:color="auto" w:fill="C6D9F1" w:themeFill="text2" w:themeFillTint="33"/>
            <w:vAlign w:val="center"/>
          </w:tcPr>
          <w:p w:rsidR="00256E7F" w:rsidRPr="00256E7F" w:rsidRDefault="00256E7F" w:rsidP="00256E7F">
            <w:pPr>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22</w:t>
            </w:r>
          </w:p>
        </w:tc>
        <w:tc>
          <w:tcPr>
            <w:tcW w:w="1388" w:type="dxa"/>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2535</w:t>
            </w:r>
          </w:p>
        </w:tc>
      </w:tr>
      <w:tr w:rsidR="00256E7F" w:rsidRPr="00256E7F" w:rsidTr="00256E7F">
        <w:trPr>
          <w:trHeight w:val="210"/>
        </w:trPr>
        <w:tc>
          <w:tcPr>
            <w:cnfStyle w:val="001000000000" w:firstRow="0" w:lastRow="0" w:firstColumn="1" w:lastColumn="0" w:oddVBand="0" w:evenVBand="0" w:oddHBand="0" w:evenHBand="0" w:firstRowFirstColumn="0" w:firstRowLastColumn="0" w:lastRowFirstColumn="0" w:lastRowLastColumn="0"/>
            <w:tcW w:w="1027" w:type="dxa"/>
            <w:vMerge w:val="restart"/>
            <w:noWrap/>
            <w:vAlign w:val="center"/>
          </w:tcPr>
          <w:p w:rsidR="00256E7F" w:rsidRPr="00256E7F" w:rsidRDefault="00256E7F" w:rsidP="00256E7F">
            <w:pPr>
              <w:ind w:right="41"/>
              <w:jc w:val="center"/>
              <w:rPr>
                <w:rFonts w:ascii="Geometr706 Md TL" w:hAnsi="Geometr706 Md TL"/>
                <w:color w:val="000000"/>
                <w:sz w:val="18"/>
                <w:szCs w:val="18"/>
              </w:rPr>
            </w:pPr>
            <w:r w:rsidRPr="00256E7F">
              <w:rPr>
                <w:rFonts w:ascii="Geometr706 Md TL" w:hAnsi="Geometr706 Md TL"/>
                <w:color w:val="000000"/>
                <w:sz w:val="18"/>
                <w:szCs w:val="18"/>
              </w:rPr>
              <w:t>99. p.</w:t>
            </w:r>
          </w:p>
        </w:tc>
        <w:tc>
          <w:tcPr>
            <w:tcW w:w="2909" w:type="dxa"/>
            <w:noWrap/>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Neatbilstošu mērvienību un to apzīmējumu lietošana</w:t>
            </w:r>
          </w:p>
        </w:tc>
        <w:tc>
          <w:tcPr>
            <w:tcW w:w="1388" w:type="dxa"/>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35</w:t>
            </w:r>
          </w:p>
        </w:tc>
        <w:tc>
          <w:tcPr>
            <w:tcW w:w="1111" w:type="dxa"/>
            <w:vMerge w:val="restart"/>
            <w:noWrap/>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1800</w:t>
            </w:r>
          </w:p>
        </w:tc>
        <w:tc>
          <w:tcPr>
            <w:tcW w:w="1388" w:type="dxa"/>
            <w:vAlign w:val="bottom"/>
          </w:tcPr>
          <w:p w:rsidR="00256E7F" w:rsidRPr="00256E7F" w:rsidRDefault="00256E7F" w:rsidP="00256E7F">
            <w:pPr>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 </w:t>
            </w:r>
          </w:p>
        </w:tc>
        <w:tc>
          <w:tcPr>
            <w:tcW w:w="1388" w:type="dxa"/>
            <w:vMerge w:val="restart"/>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2735</w:t>
            </w:r>
          </w:p>
        </w:tc>
      </w:tr>
      <w:tr w:rsidR="00256E7F" w:rsidRPr="00256E7F" w:rsidTr="00256E7F">
        <w:trPr>
          <w:trHeight w:val="210"/>
        </w:trPr>
        <w:tc>
          <w:tcPr>
            <w:cnfStyle w:val="001000000000" w:firstRow="0" w:lastRow="0" w:firstColumn="1" w:lastColumn="0" w:oddVBand="0" w:evenVBand="0" w:oddHBand="0" w:evenHBand="0" w:firstRowFirstColumn="0" w:firstRowLastColumn="0" w:lastRowFirstColumn="0" w:lastRowLastColumn="0"/>
            <w:tcW w:w="1027" w:type="dxa"/>
            <w:vMerge/>
            <w:vAlign w:val="center"/>
          </w:tcPr>
          <w:p w:rsidR="00256E7F" w:rsidRPr="00256E7F" w:rsidRDefault="00256E7F" w:rsidP="00256E7F">
            <w:pPr>
              <w:ind w:right="41"/>
              <w:jc w:val="center"/>
              <w:rPr>
                <w:rFonts w:ascii="Geometr706 Md TL" w:hAnsi="Geometr706 Md TL"/>
                <w:color w:val="000000"/>
                <w:sz w:val="18"/>
                <w:szCs w:val="18"/>
              </w:rPr>
            </w:pPr>
          </w:p>
        </w:tc>
        <w:tc>
          <w:tcPr>
            <w:tcW w:w="2909" w:type="dxa"/>
            <w:noWrap/>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Mērīšanas līdzekļu un procesu neatbilstība prasībām</w:t>
            </w:r>
          </w:p>
        </w:tc>
        <w:tc>
          <w:tcPr>
            <w:tcW w:w="1388" w:type="dxa"/>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111" w:type="dxa"/>
            <w:vMerge/>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p>
        </w:tc>
        <w:tc>
          <w:tcPr>
            <w:tcW w:w="1388" w:type="dxa"/>
            <w:vAlign w:val="bottom"/>
          </w:tcPr>
          <w:p w:rsidR="00256E7F" w:rsidRPr="00256E7F" w:rsidRDefault="00256E7F" w:rsidP="00256E7F">
            <w:pPr>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18</w:t>
            </w:r>
          </w:p>
        </w:tc>
        <w:tc>
          <w:tcPr>
            <w:tcW w:w="1388" w:type="dxa"/>
            <w:vMerge/>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p>
        </w:tc>
      </w:tr>
      <w:tr w:rsidR="00256E7F" w:rsidRPr="00256E7F" w:rsidTr="00256E7F">
        <w:trPr>
          <w:trHeight w:val="210"/>
        </w:trPr>
        <w:tc>
          <w:tcPr>
            <w:cnfStyle w:val="001000000000" w:firstRow="0" w:lastRow="0" w:firstColumn="1" w:lastColumn="0" w:oddVBand="0" w:evenVBand="0" w:oddHBand="0" w:evenHBand="0" w:firstRowFirstColumn="0" w:firstRowLastColumn="0" w:lastRowFirstColumn="0" w:lastRowLastColumn="0"/>
            <w:tcW w:w="1027" w:type="dxa"/>
            <w:vMerge/>
            <w:vAlign w:val="center"/>
          </w:tcPr>
          <w:p w:rsidR="00256E7F" w:rsidRPr="00256E7F" w:rsidRDefault="00256E7F" w:rsidP="00256E7F">
            <w:pPr>
              <w:ind w:right="41"/>
              <w:jc w:val="center"/>
              <w:rPr>
                <w:rFonts w:ascii="Geometr706 Md TL" w:hAnsi="Geometr706 Md TL"/>
                <w:color w:val="000000"/>
                <w:sz w:val="18"/>
                <w:szCs w:val="18"/>
              </w:rPr>
            </w:pPr>
          </w:p>
        </w:tc>
        <w:tc>
          <w:tcPr>
            <w:tcW w:w="2909" w:type="dxa"/>
            <w:noWrap/>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Fasēto preču satura daudzuma neatbilstība prasībām</w:t>
            </w:r>
          </w:p>
        </w:tc>
        <w:tc>
          <w:tcPr>
            <w:tcW w:w="1388" w:type="dxa"/>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111" w:type="dxa"/>
            <w:vMerge/>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p>
        </w:tc>
        <w:tc>
          <w:tcPr>
            <w:tcW w:w="1388" w:type="dxa"/>
            <w:vAlign w:val="bottom"/>
          </w:tcPr>
          <w:p w:rsidR="00256E7F" w:rsidRPr="00256E7F" w:rsidRDefault="00256E7F" w:rsidP="00256E7F">
            <w:pPr>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 </w:t>
            </w:r>
          </w:p>
        </w:tc>
        <w:tc>
          <w:tcPr>
            <w:tcW w:w="1388" w:type="dxa"/>
            <w:vMerge/>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p>
        </w:tc>
      </w:tr>
      <w:tr w:rsidR="00256E7F" w:rsidRPr="00256E7F" w:rsidTr="00256E7F">
        <w:trPr>
          <w:trHeight w:val="210"/>
        </w:trPr>
        <w:tc>
          <w:tcPr>
            <w:cnfStyle w:val="001000000000" w:firstRow="0" w:lastRow="0" w:firstColumn="1" w:lastColumn="0" w:oddVBand="0" w:evenVBand="0" w:oddHBand="0" w:evenHBand="0" w:firstRowFirstColumn="0" w:firstRowLastColumn="0" w:lastRowFirstColumn="0" w:lastRowLastColumn="0"/>
            <w:tcW w:w="1027" w:type="dxa"/>
            <w:vMerge/>
            <w:vAlign w:val="center"/>
          </w:tcPr>
          <w:p w:rsidR="00256E7F" w:rsidRPr="00256E7F" w:rsidRDefault="00256E7F" w:rsidP="00256E7F">
            <w:pPr>
              <w:ind w:right="41"/>
              <w:jc w:val="center"/>
              <w:rPr>
                <w:rFonts w:ascii="Geometr706 Md TL" w:hAnsi="Geometr706 Md TL"/>
                <w:color w:val="000000"/>
                <w:sz w:val="18"/>
                <w:szCs w:val="18"/>
              </w:rPr>
            </w:pPr>
          </w:p>
        </w:tc>
        <w:tc>
          <w:tcPr>
            <w:tcW w:w="2909" w:type="dxa"/>
            <w:noWrap/>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Cits</w:t>
            </w:r>
          </w:p>
        </w:tc>
        <w:tc>
          <w:tcPr>
            <w:tcW w:w="1388" w:type="dxa"/>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111" w:type="dxa"/>
            <w:vMerge/>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p>
        </w:tc>
        <w:tc>
          <w:tcPr>
            <w:tcW w:w="1388" w:type="dxa"/>
            <w:vAlign w:val="bottom"/>
          </w:tcPr>
          <w:p w:rsidR="00256E7F" w:rsidRPr="00256E7F" w:rsidRDefault="00256E7F" w:rsidP="00256E7F">
            <w:pPr>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 </w:t>
            </w:r>
          </w:p>
        </w:tc>
        <w:tc>
          <w:tcPr>
            <w:tcW w:w="1388" w:type="dxa"/>
            <w:vMerge/>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p>
        </w:tc>
      </w:tr>
      <w:tr w:rsidR="00256E7F" w:rsidRPr="00256E7F" w:rsidTr="00256E7F">
        <w:trPr>
          <w:trHeight w:val="540"/>
        </w:trPr>
        <w:tc>
          <w:tcPr>
            <w:cnfStyle w:val="001000000000" w:firstRow="0" w:lastRow="0" w:firstColumn="1" w:lastColumn="0" w:oddVBand="0" w:evenVBand="0" w:oddHBand="0" w:evenHBand="0" w:firstRowFirstColumn="0" w:firstRowLastColumn="0" w:lastRowFirstColumn="0" w:lastRowLastColumn="0"/>
            <w:tcW w:w="1027" w:type="dxa"/>
            <w:vMerge w:val="restart"/>
            <w:shd w:val="clear" w:color="auto" w:fill="C6D9F1" w:themeFill="text2" w:themeFillTint="33"/>
            <w:noWrap/>
            <w:vAlign w:val="center"/>
          </w:tcPr>
          <w:p w:rsidR="00256E7F" w:rsidRPr="00256E7F" w:rsidRDefault="00256E7F" w:rsidP="00256E7F">
            <w:pPr>
              <w:ind w:right="41"/>
              <w:jc w:val="center"/>
              <w:rPr>
                <w:rFonts w:ascii="Geometr706 Md TL" w:hAnsi="Geometr706 Md TL"/>
                <w:color w:val="000000"/>
                <w:sz w:val="18"/>
                <w:szCs w:val="18"/>
              </w:rPr>
            </w:pPr>
            <w:r w:rsidRPr="00256E7F">
              <w:rPr>
                <w:rFonts w:ascii="Geometr706 Md TL" w:hAnsi="Geometr706 Md TL"/>
                <w:color w:val="000000"/>
                <w:sz w:val="18"/>
                <w:szCs w:val="18"/>
              </w:rPr>
              <w:t>155. p.</w:t>
            </w:r>
          </w:p>
        </w:tc>
        <w:tc>
          <w:tcPr>
            <w:tcW w:w="2909" w:type="dxa"/>
            <w:shd w:val="clear" w:color="auto" w:fill="C6D9F1" w:themeFill="text2" w:themeFillTint="33"/>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Par tirdzniecības, sabiedriskās ēdināšanas vai pakalpojumu noteikumu pārkāpšanu</w:t>
            </w:r>
          </w:p>
        </w:tc>
        <w:tc>
          <w:tcPr>
            <w:tcW w:w="1388" w:type="dxa"/>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33</w:t>
            </w:r>
          </w:p>
        </w:tc>
        <w:tc>
          <w:tcPr>
            <w:tcW w:w="1111" w:type="dxa"/>
            <w:vMerge w:val="restart"/>
            <w:shd w:val="clear" w:color="auto" w:fill="C6D9F1" w:themeFill="text2" w:themeFillTint="33"/>
            <w:noWrap/>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1590</w:t>
            </w:r>
          </w:p>
        </w:tc>
        <w:tc>
          <w:tcPr>
            <w:tcW w:w="1388" w:type="dxa"/>
            <w:shd w:val="clear" w:color="auto" w:fill="C6D9F1" w:themeFill="text2" w:themeFillTint="33"/>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p>
        </w:tc>
        <w:tc>
          <w:tcPr>
            <w:tcW w:w="1388" w:type="dxa"/>
            <w:vMerge w:val="restart"/>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3140</w:t>
            </w:r>
          </w:p>
        </w:tc>
      </w:tr>
      <w:tr w:rsidR="00256E7F" w:rsidRPr="00256E7F" w:rsidTr="00256E7F">
        <w:trPr>
          <w:trHeight w:val="435"/>
        </w:trPr>
        <w:tc>
          <w:tcPr>
            <w:cnfStyle w:val="001000000000" w:firstRow="0" w:lastRow="0" w:firstColumn="1" w:lastColumn="0" w:oddVBand="0" w:evenVBand="0" w:oddHBand="0" w:evenHBand="0" w:firstRowFirstColumn="0" w:firstRowLastColumn="0" w:lastRowFirstColumn="0" w:lastRowLastColumn="0"/>
            <w:tcW w:w="1027" w:type="dxa"/>
            <w:vMerge/>
            <w:shd w:val="clear" w:color="auto" w:fill="C6D9F1" w:themeFill="text2" w:themeFillTint="33"/>
            <w:vAlign w:val="center"/>
          </w:tcPr>
          <w:p w:rsidR="00256E7F" w:rsidRPr="00256E7F" w:rsidRDefault="00256E7F" w:rsidP="00256E7F">
            <w:pPr>
              <w:ind w:right="41"/>
              <w:jc w:val="center"/>
              <w:rPr>
                <w:rFonts w:ascii="Geometr706 Md TL" w:hAnsi="Geometr706 Md TL"/>
                <w:color w:val="000000"/>
                <w:sz w:val="18"/>
                <w:szCs w:val="18"/>
              </w:rPr>
            </w:pPr>
          </w:p>
        </w:tc>
        <w:tc>
          <w:tcPr>
            <w:tcW w:w="2909" w:type="dxa"/>
            <w:shd w:val="clear" w:color="auto" w:fill="C6D9F1" w:themeFill="text2" w:themeFillTint="33"/>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Par preces vai pakalpojuma cenas nenorādīšanu normatīvajos aktos noteiktajā kārtībā</w:t>
            </w:r>
          </w:p>
        </w:tc>
        <w:tc>
          <w:tcPr>
            <w:tcW w:w="1388" w:type="dxa"/>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111" w:type="dxa"/>
            <w:vMerge/>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p>
        </w:tc>
        <w:tc>
          <w:tcPr>
            <w:tcW w:w="1388" w:type="dxa"/>
            <w:shd w:val="clear" w:color="auto" w:fill="C6D9F1" w:themeFill="text2" w:themeFillTint="33"/>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37</w:t>
            </w:r>
          </w:p>
        </w:tc>
        <w:tc>
          <w:tcPr>
            <w:tcW w:w="1388" w:type="dxa"/>
            <w:vMerge/>
            <w:shd w:val="clear" w:color="auto" w:fill="C6D9F1" w:themeFill="text2" w:themeFillTint="33"/>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p>
        </w:tc>
      </w:tr>
      <w:tr w:rsidR="00256E7F" w:rsidRPr="00256E7F" w:rsidTr="00256E7F">
        <w:trPr>
          <w:trHeight w:val="480"/>
        </w:trPr>
        <w:tc>
          <w:tcPr>
            <w:cnfStyle w:val="001000000000" w:firstRow="0" w:lastRow="0" w:firstColumn="1" w:lastColumn="0" w:oddVBand="0" w:evenVBand="0" w:oddHBand="0" w:evenHBand="0" w:firstRowFirstColumn="0" w:firstRowLastColumn="0" w:lastRowFirstColumn="0" w:lastRowLastColumn="0"/>
            <w:tcW w:w="1027" w:type="dxa"/>
            <w:vMerge/>
            <w:shd w:val="clear" w:color="auto" w:fill="C6D9F1" w:themeFill="text2" w:themeFillTint="33"/>
            <w:vAlign w:val="center"/>
          </w:tcPr>
          <w:p w:rsidR="00256E7F" w:rsidRPr="00256E7F" w:rsidRDefault="00256E7F" w:rsidP="00256E7F">
            <w:pPr>
              <w:ind w:right="41"/>
              <w:jc w:val="center"/>
              <w:rPr>
                <w:rFonts w:ascii="Geometr706 Md TL" w:hAnsi="Geometr706 Md TL"/>
                <w:color w:val="000000"/>
                <w:sz w:val="18"/>
                <w:szCs w:val="18"/>
              </w:rPr>
            </w:pPr>
          </w:p>
        </w:tc>
        <w:tc>
          <w:tcPr>
            <w:tcW w:w="2909" w:type="dxa"/>
            <w:shd w:val="clear" w:color="auto" w:fill="C6D9F1" w:themeFill="text2" w:themeFillTint="33"/>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Par samaksas par pirkumu vai pakalpojumu vai svara vai mēra nepareizu noteikšanu</w:t>
            </w:r>
          </w:p>
        </w:tc>
        <w:tc>
          <w:tcPr>
            <w:tcW w:w="1388" w:type="dxa"/>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111" w:type="dxa"/>
            <w:vMerge/>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388" w:type="dxa"/>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3</w:t>
            </w:r>
          </w:p>
        </w:tc>
        <w:tc>
          <w:tcPr>
            <w:tcW w:w="1388" w:type="dxa"/>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r>
      <w:tr w:rsidR="00256E7F" w:rsidRPr="00256E7F" w:rsidTr="00256E7F">
        <w:trPr>
          <w:trHeight w:val="255"/>
        </w:trPr>
        <w:tc>
          <w:tcPr>
            <w:cnfStyle w:val="001000000000" w:firstRow="0" w:lastRow="0" w:firstColumn="1" w:lastColumn="0" w:oddVBand="0" w:evenVBand="0" w:oddHBand="0" w:evenHBand="0" w:firstRowFirstColumn="0" w:firstRowLastColumn="0" w:lastRowFirstColumn="0" w:lastRowLastColumn="0"/>
            <w:tcW w:w="1027" w:type="dxa"/>
            <w:noWrap/>
            <w:vAlign w:val="center"/>
          </w:tcPr>
          <w:p w:rsidR="00256E7F" w:rsidRPr="00256E7F" w:rsidRDefault="00256E7F" w:rsidP="00256E7F">
            <w:pPr>
              <w:ind w:right="41"/>
              <w:jc w:val="center"/>
              <w:rPr>
                <w:rFonts w:ascii="Geometr706 Md TL" w:hAnsi="Geometr706 Md TL"/>
                <w:color w:val="000000"/>
                <w:sz w:val="18"/>
                <w:szCs w:val="18"/>
              </w:rPr>
            </w:pPr>
            <w:r w:rsidRPr="00256E7F">
              <w:rPr>
                <w:rFonts w:ascii="Geometr706 Md TL" w:hAnsi="Geometr706 Md TL"/>
                <w:color w:val="000000"/>
                <w:sz w:val="18"/>
                <w:szCs w:val="18"/>
              </w:rPr>
              <w:t>155.11. p.</w:t>
            </w:r>
          </w:p>
        </w:tc>
        <w:tc>
          <w:tcPr>
            <w:tcW w:w="2909" w:type="dxa"/>
            <w:noWrap/>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Komplekso tūrisma pakalpojumu sniegšanas neievērošana</w:t>
            </w:r>
          </w:p>
        </w:tc>
        <w:tc>
          <w:tcPr>
            <w:tcW w:w="1388" w:type="dxa"/>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5</w:t>
            </w:r>
          </w:p>
        </w:tc>
        <w:tc>
          <w:tcPr>
            <w:tcW w:w="1111" w:type="dxa"/>
            <w:noWrap/>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3800</w:t>
            </w:r>
          </w:p>
        </w:tc>
        <w:tc>
          <w:tcPr>
            <w:tcW w:w="1388" w:type="dxa"/>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1</w:t>
            </w:r>
          </w:p>
        </w:tc>
        <w:tc>
          <w:tcPr>
            <w:tcW w:w="1388" w:type="dxa"/>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100</w:t>
            </w:r>
          </w:p>
        </w:tc>
      </w:tr>
      <w:tr w:rsidR="00256E7F" w:rsidRPr="00256E7F" w:rsidTr="00256E7F">
        <w:trPr>
          <w:trHeight w:val="735"/>
        </w:trPr>
        <w:tc>
          <w:tcPr>
            <w:cnfStyle w:val="001000000000" w:firstRow="0" w:lastRow="0" w:firstColumn="1" w:lastColumn="0" w:oddVBand="0" w:evenVBand="0" w:oddHBand="0" w:evenHBand="0" w:firstRowFirstColumn="0" w:firstRowLastColumn="0" w:lastRowFirstColumn="0" w:lastRowLastColumn="0"/>
            <w:tcW w:w="1027" w:type="dxa"/>
            <w:shd w:val="clear" w:color="auto" w:fill="C6D9F1" w:themeFill="text2" w:themeFillTint="33"/>
            <w:vAlign w:val="center"/>
          </w:tcPr>
          <w:p w:rsidR="00256E7F" w:rsidRPr="00256E7F" w:rsidRDefault="00256E7F" w:rsidP="00256E7F">
            <w:pPr>
              <w:ind w:right="41"/>
              <w:jc w:val="center"/>
              <w:rPr>
                <w:rFonts w:ascii="Geometr706 Md TL" w:hAnsi="Geometr706 Md TL"/>
                <w:color w:val="000000"/>
                <w:sz w:val="18"/>
                <w:szCs w:val="18"/>
              </w:rPr>
            </w:pPr>
            <w:r w:rsidRPr="00256E7F">
              <w:rPr>
                <w:rFonts w:ascii="Geometr706 Md TL" w:hAnsi="Geometr706 Md TL"/>
                <w:color w:val="000000"/>
                <w:sz w:val="18"/>
                <w:szCs w:val="18"/>
              </w:rPr>
              <w:t>166.2. p.</w:t>
            </w:r>
          </w:p>
        </w:tc>
        <w:tc>
          <w:tcPr>
            <w:tcW w:w="2909" w:type="dxa"/>
            <w:shd w:val="clear" w:color="auto" w:fill="C6D9F1" w:themeFill="text2" w:themeFillTint="33"/>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Komercdarbība bez reģistrēšanas vai bez speciālās atļaujas (licences), izziņas vai atļaujas un komercdarbības veikšana, pārkāpjot speciālajā atļaujā (licencē), izziņā vai atļaujā minētos nosacījumus</w:t>
            </w:r>
          </w:p>
        </w:tc>
        <w:tc>
          <w:tcPr>
            <w:tcW w:w="1388" w:type="dxa"/>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111" w:type="dxa"/>
            <w:shd w:val="clear" w:color="auto" w:fill="C6D9F1" w:themeFill="text2" w:themeFillTint="33"/>
            <w:noWrap/>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388" w:type="dxa"/>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2</w:t>
            </w:r>
          </w:p>
        </w:tc>
        <w:tc>
          <w:tcPr>
            <w:tcW w:w="1388" w:type="dxa"/>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500</w:t>
            </w:r>
          </w:p>
        </w:tc>
      </w:tr>
      <w:tr w:rsidR="00256E7F" w:rsidRPr="00256E7F" w:rsidTr="00256E7F">
        <w:trPr>
          <w:trHeight w:val="480"/>
        </w:trPr>
        <w:tc>
          <w:tcPr>
            <w:cnfStyle w:val="001000000000" w:firstRow="0" w:lastRow="0" w:firstColumn="1" w:lastColumn="0" w:oddVBand="0" w:evenVBand="0" w:oddHBand="0" w:evenHBand="0" w:firstRowFirstColumn="0" w:firstRowLastColumn="0" w:lastRowFirstColumn="0" w:lastRowLastColumn="0"/>
            <w:tcW w:w="1027" w:type="dxa"/>
            <w:vMerge w:val="restart"/>
            <w:noWrap/>
            <w:vAlign w:val="center"/>
          </w:tcPr>
          <w:p w:rsidR="00256E7F" w:rsidRPr="00256E7F" w:rsidRDefault="00256E7F" w:rsidP="00256E7F">
            <w:pPr>
              <w:ind w:right="41"/>
              <w:jc w:val="center"/>
              <w:rPr>
                <w:rFonts w:ascii="Geometr706 Md TL" w:hAnsi="Geometr706 Md TL"/>
                <w:color w:val="000000"/>
                <w:sz w:val="18"/>
                <w:szCs w:val="18"/>
              </w:rPr>
            </w:pPr>
            <w:r w:rsidRPr="00256E7F">
              <w:rPr>
                <w:rFonts w:ascii="Geometr706 Md TL" w:hAnsi="Geometr706 Md TL"/>
                <w:color w:val="000000"/>
                <w:sz w:val="18"/>
                <w:szCs w:val="18"/>
              </w:rPr>
              <w:t>166.9. p.</w:t>
            </w:r>
          </w:p>
        </w:tc>
        <w:tc>
          <w:tcPr>
            <w:tcW w:w="2909" w:type="dxa"/>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Par normatīvajos aktos noteiktajām drošuma prasībām neatbilstošu preču vai pakalpojumu ievietošanu tirgū</w:t>
            </w:r>
          </w:p>
        </w:tc>
        <w:tc>
          <w:tcPr>
            <w:tcW w:w="1388" w:type="dxa"/>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19</w:t>
            </w:r>
          </w:p>
        </w:tc>
        <w:tc>
          <w:tcPr>
            <w:tcW w:w="1111" w:type="dxa"/>
            <w:vMerge w:val="restart"/>
            <w:noWrap/>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17 700</w:t>
            </w:r>
          </w:p>
        </w:tc>
        <w:tc>
          <w:tcPr>
            <w:tcW w:w="1388" w:type="dxa"/>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7</w:t>
            </w:r>
          </w:p>
        </w:tc>
        <w:tc>
          <w:tcPr>
            <w:tcW w:w="1388" w:type="dxa"/>
            <w:vMerge w:val="restart"/>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5100</w:t>
            </w:r>
          </w:p>
        </w:tc>
      </w:tr>
      <w:tr w:rsidR="00256E7F" w:rsidRPr="00256E7F" w:rsidTr="00256E7F">
        <w:trPr>
          <w:trHeight w:val="465"/>
        </w:trPr>
        <w:tc>
          <w:tcPr>
            <w:cnfStyle w:val="001000000000" w:firstRow="0" w:lastRow="0" w:firstColumn="1" w:lastColumn="0" w:oddVBand="0" w:evenVBand="0" w:oddHBand="0" w:evenHBand="0" w:firstRowFirstColumn="0" w:firstRowLastColumn="0" w:lastRowFirstColumn="0" w:lastRowLastColumn="0"/>
            <w:tcW w:w="1027" w:type="dxa"/>
            <w:vMerge/>
            <w:vAlign w:val="center"/>
          </w:tcPr>
          <w:p w:rsidR="00256E7F" w:rsidRPr="00256E7F" w:rsidRDefault="00256E7F" w:rsidP="00256E7F">
            <w:pPr>
              <w:ind w:right="41"/>
              <w:jc w:val="center"/>
              <w:rPr>
                <w:rFonts w:ascii="Geometr706 Md TL" w:hAnsi="Geometr706 Md TL"/>
                <w:color w:val="000000"/>
                <w:sz w:val="18"/>
                <w:szCs w:val="18"/>
              </w:rPr>
            </w:pPr>
          </w:p>
        </w:tc>
        <w:tc>
          <w:tcPr>
            <w:tcW w:w="2909" w:type="dxa"/>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Par normatīvajos aktos noteiktajām būtiskajām prasībām vai tehniskajiem parametriem neatbilstošu preču ievietošanu tirgū</w:t>
            </w:r>
          </w:p>
        </w:tc>
        <w:tc>
          <w:tcPr>
            <w:tcW w:w="1388" w:type="dxa"/>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111" w:type="dxa"/>
            <w:vMerge/>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388" w:type="dxa"/>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388" w:type="dxa"/>
            <w:vMerge/>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r>
      <w:tr w:rsidR="00256E7F" w:rsidRPr="00256E7F" w:rsidTr="00256E7F">
        <w:trPr>
          <w:trHeight w:val="210"/>
        </w:trPr>
        <w:tc>
          <w:tcPr>
            <w:cnfStyle w:val="001000000000" w:firstRow="0" w:lastRow="0" w:firstColumn="1" w:lastColumn="0" w:oddVBand="0" w:evenVBand="0" w:oddHBand="0" w:evenHBand="0" w:firstRowFirstColumn="0" w:firstRowLastColumn="0" w:lastRowFirstColumn="0" w:lastRowLastColumn="0"/>
            <w:tcW w:w="1027" w:type="dxa"/>
            <w:vMerge w:val="restart"/>
            <w:shd w:val="clear" w:color="auto" w:fill="C6D9F1" w:themeFill="text2" w:themeFillTint="33"/>
            <w:noWrap/>
            <w:vAlign w:val="center"/>
          </w:tcPr>
          <w:p w:rsidR="00256E7F" w:rsidRPr="00256E7F" w:rsidRDefault="00256E7F" w:rsidP="00256E7F">
            <w:pPr>
              <w:ind w:right="41"/>
              <w:jc w:val="center"/>
              <w:rPr>
                <w:rFonts w:ascii="Geometr706 Md TL" w:hAnsi="Geometr706 Md TL"/>
                <w:color w:val="000000"/>
                <w:sz w:val="18"/>
                <w:szCs w:val="18"/>
              </w:rPr>
            </w:pPr>
            <w:r w:rsidRPr="00256E7F">
              <w:rPr>
                <w:rFonts w:ascii="Geometr706 Md TL" w:hAnsi="Geometr706 Md TL"/>
                <w:color w:val="000000"/>
                <w:sz w:val="18"/>
                <w:szCs w:val="18"/>
              </w:rPr>
              <w:lastRenderedPageBreak/>
              <w:t>166.12. p.</w:t>
            </w:r>
          </w:p>
        </w:tc>
        <w:tc>
          <w:tcPr>
            <w:tcW w:w="2909" w:type="dxa"/>
            <w:shd w:val="clear" w:color="auto" w:fill="C6D9F1" w:themeFill="text2" w:themeFillTint="33"/>
            <w:noWrap/>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Nav informācijas par uzņēmumu</w:t>
            </w:r>
          </w:p>
        </w:tc>
        <w:tc>
          <w:tcPr>
            <w:tcW w:w="1388" w:type="dxa"/>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103</w:t>
            </w:r>
          </w:p>
        </w:tc>
        <w:tc>
          <w:tcPr>
            <w:tcW w:w="1111" w:type="dxa"/>
            <w:vMerge w:val="restart"/>
            <w:shd w:val="clear" w:color="auto" w:fill="C6D9F1" w:themeFill="text2" w:themeFillTint="33"/>
            <w:noWrap/>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4560</w:t>
            </w:r>
          </w:p>
        </w:tc>
        <w:tc>
          <w:tcPr>
            <w:tcW w:w="1388" w:type="dxa"/>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46</w:t>
            </w:r>
          </w:p>
        </w:tc>
        <w:tc>
          <w:tcPr>
            <w:tcW w:w="1388" w:type="dxa"/>
            <w:vMerge w:val="restart"/>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9830</w:t>
            </w:r>
          </w:p>
        </w:tc>
      </w:tr>
      <w:tr w:rsidR="00256E7F" w:rsidRPr="00256E7F" w:rsidTr="00256E7F">
        <w:trPr>
          <w:trHeight w:val="210"/>
        </w:trPr>
        <w:tc>
          <w:tcPr>
            <w:cnfStyle w:val="001000000000" w:firstRow="0" w:lastRow="0" w:firstColumn="1" w:lastColumn="0" w:oddVBand="0" w:evenVBand="0" w:oddHBand="0" w:evenHBand="0" w:firstRowFirstColumn="0" w:firstRowLastColumn="0" w:lastRowFirstColumn="0" w:lastRowLastColumn="0"/>
            <w:tcW w:w="1027" w:type="dxa"/>
            <w:vMerge/>
            <w:shd w:val="clear" w:color="auto" w:fill="C6D9F1" w:themeFill="text2" w:themeFillTint="33"/>
            <w:vAlign w:val="center"/>
          </w:tcPr>
          <w:p w:rsidR="00256E7F" w:rsidRPr="00256E7F" w:rsidRDefault="00256E7F" w:rsidP="00256E7F">
            <w:pPr>
              <w:ind w:right="41"/>
              <w:jc w:val="center"/>
              <w:rPr>
                <w:rFonts w:ascii="Geometr706 Md TL" w:hAnsi="Geometr706 Md TL"/>
                <w:color w:val="000000"/>
                <w:sz w:val="18"/>
                <w:szCs w:val="18"/>
              </w:rPr>
            </w:pPr>
          </w:p>
        </w:tc>
        <w:tc>
          <w:tcPr>
            <w:tcW w:w="2909" w:type="dxa"/>
            <w:shd w:val="clear" w:color="auto" w:fill="C6D9F1" w:themeFill="text2" w:themeFillTint="33"/>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Nav informācijas par preci</w:t>
            </w:r>
          </w:p>
        </w:tc>
        <w:tc>
          <w:tcPr>
            <w:tcW w:w="1388" w:type="dxa"/>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111" w:type="dxa"/>
            <w:vMerge/>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388" w:type="dxa"/>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44</w:t>
            </w:r>
          </w:p>
        </w:tc>
        <w:tc>
          <w:tcPr>
            <w:tcW w:w="1388" w:type="dxa"/>
            <w:vMerge/>
            <w:shd w:val="clear" w:color="auto" w:fill="C6D9F1" w:themeFill="text2" w:themeFillTint="33"/>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r>
      <w:tr w:rsidR="00256E7F" w:rsidRPr="00256E7F" w:rsidTr="00256E7F">
        <w:trPr>
          <w:trHeight w:val="210"/>
        </w:trPr>
        <w:tc>
          <w:tcPr>
            <w:cnfStyle w:val="001000000000" w:firstRow="0" w:lastRow="0" w:firstColumn="1" w:lastColumn="0" w:oddVBand="0" w:evenVBand="0" w:oddHBand="0" w:evenHBand="0" w:firstRowFirstColumn="0" w:firstRowLastColumn="0" w:lastRowFirstColumn="0" w:lastRowLastColumn="0"/>
            <w:tcW w:w="1027" w:type="dxa"/>
            <w:vMerge/>
            <w:shd w:val="clear" w:color="auto" w:fill="C6D9F1" w:themeFill="text2" w:themeFillTint="33"/>
            <w:vAlign w:val="center"/>
          </w:tcPr>
          <w:p w:rsidR="00256E7F" w:rsidRPr="00256E7F" w:rsidRDefault="00256E7F" w:rsidP="00256E7F">
            <w:pPr>
              <w:ind w:right="41"/>
              <w:jc w:val="center"/>
              <w:rPr>
                <w:rFonts w:ascii="Geometr706 Md TL" w:hAnsi="Geometr706 Md TL"/>
                <w:color w:val="000000"/>
                <w:sz w:val="18"/>
                <w:szCs w:val="18"/>
              </w:rPr>
            </w:pPr>
          </w:p>
        </w:tc>
        <w:tc>
          <w:tcPr>
            <w:tcW w:w="2909" w:type="dxa"/>
            <w:shd w:val="clear" w:color="auto" w:fill="C6D9F1" w:themeFill="text2" w:themeFillTint="33"/>
            <w:noWrap/>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Nav atbilstošas informācijas marķējumā</w:t>
            </w:r>
          </w:p>
        </w:tc>
        <w:tc>
          <w:tcPr>
            <w:tcW w:w="1388" w:type="dxa"/>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111" w:type="dxa"/>
            <w:vMerge/>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388" w:type="dxa"/>
            <w:shd w:val="clear" w:color="auto" w:fill="C6D9F1" w:themeFill="text2" w:themeFillTint="33"/>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388" w:type="dxa"/>
            <w:vMerge/>
            <w:shd w:val="clear" w:color="auto" w:fill="C6D9F1" w:themeFill="text2" w:themeFillTint="33"/>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r>
      <w:tr w:rsidR="00256E7F" w:rsidRPr="00256E7F" w:rsidTr="00256E7F">
        <w:trPr>
          <w:trHeight w:val="210"/>
        </w:trPr>
        <w:tc>
          <w:tcPr>
            <w:cnfStyle w:val="001000000000" w:firstRow="0" w:lastRow="0" w:firstColumn="1" w:lastColumn="0" w:oddVBand="0" w:evenVBand="0" w:oddHBand="0" w:evenHBand="0" w:firstRowFirstColumn="0" w:firstRowLastColumn="0" w:lastRowFirstColumn="0" w:lastRowLastColumn="0"/>
            <w:tcW w:w="1027" w:type="dxa"/>
            <w:vMerge/>
            <w:shd w:val="clear" w:color="auto" w:fill="C6D9F1" w:themeFill="text2" w:themeFillTint="33"/>
            <w:vAlign w:val="center"/>
          </w:tcPr>
          <w:p w:rsidR="00256E7F" w:rsidRPr="00256E7F" w:rsidRDefault="00256E7F" w:rsidP="00256E7F">
            <w:pPr>
              <w:ind w:right="41"/>
              <w:jc w:val="center"/>
              <w:rPr>
                <w:rFonts w:ascii="Geometr706 Md TL" w:hAnsi="Geometr706 Md TL"/>
                <w:color w:val="000000"/>
                <w:sz w:val="18"/>
                <w:szCs w:val="18"/>
              </w:rPr>
            </w:pPr>
          </w:p>
        </w:tc>
        <w:tc>
          <w:tcPr>
            <w:tcW w:w="2909" w:type="dxa"/>
            <w:shd w:val="clear" w:color="auto" w:fill="C6D9F1" w:themeFill="text2" w:themeFillTint="33"/>
            <w:noWrap/>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Nav pievienota lietošanas instrukcija</w:t>
            </w:r>
          </w:p>
        </w:tc>
        <w:tc>
          <w:tcPr>
            <w:tcW w:w="1388" w:type="dxa"/>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111" w:type="dxa"/>
            <w:vMerge/>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388" w:type="dxa"/>
            <w:shd w:val="clear" w:color="auto" w:fill="C6D9F1" w:themeFill="text2" w:themeFillTint="33"/>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388" w:type="dxa"/>
            <w:vMerge/>
            <w:shd w:val="clear" w:color="auto" w:fill="C6D9F1" w:themeFill="text2" w:themeFillTint="33"/>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r>
      <w:tr w:rsidR="00256E7F" w:rsidRPr="00256E7F" w:rsidTr="00256E7F">
        <w:trPr>
          <w:trHeight w:val="420"/>
        </w:trPr>
        <w:tc>
          <w:tcPr>
            <w:cnfStyle w:val="001000000000" w:firstRow="0" w:lastRow="0" w:firstColumn="1" w:lastColumn="0" w:oddVBand="0" w:evenVBand="0" w:oddHBand="0" w:evenHBand="0" w:firstRowFirstColumn="0" w:firstRowLastColumn="0" w:lastRowFirstColumn="0" w:lastRowLastColumn="0"/>
            <w:tcW w:w="1027" w:type="dxa"/>
            <w:vMerge w:val="restart"/>
            <w:vAlign w:val="center"/>
          </w:tcPr>
          <w:p w:rsidR="00256E7F" w:rsidRPr="00256E7F" w:rsidRDefault="00256E7F" w:rsidP="00256E7F">
            <w:pPr>
              <w:ind w:right="41"/>
              <w:jc w:val="center"/>
              <w:rPr>
                <w:rFonts w:ascii="Geometr706 Md TL" w:hAnsi="Geometr706 Md TL"/>
                <w:color w:val="000000"/>
                <w:sz w:val="18"/>
                <w:szCs w:val="18"/>
              </w:rPr>
            </w:pPr>
            <w:r w:rsidRPr="00256E7F">
              <w:rPr>
                <w:rFonts w:ascii="Geometr706 Md TL" w:hAnsi="Geometr706 Md TL"/>
                <w:color w:val="000000"/>
                <w:sz w:val="18"/>
                <w:szCs w:val="18"/>
              </w:rPr>
              <w:t>166.13. p.</w:t>
            </w:r>
          </w:p>
        </w:tc>
        <w:tc>
          <w:tcPr>
            <w:tcW w:w="2909" w:type="dxa"/>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Par noteiktās kārtības pārkāpšanu reklāmas sniegšanā vai izplatīšanā</w:t>
            </w:r>
          </w:p>
        </w:tc>
        <w:tc>
          <w:tcPr>
            <w:tcW w:w="1388" w:type="dxa"/>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69</w:t>
            </w:r>
          </w:p>
        </w:tc>
        <w:tc>
          <w:tcPr>
            <w:tcW w:w="1111" w:type="dxa"/>
            <w:vMerge w:val="restart"/>
            <w:noWrap/>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60 810</w:t>
            </w:r>
          </w:p>
        </w:tc>
        <w:tc>
          <w:tcPr>
            <w:tcW w:w="1388" w:type="dxa"/>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388" w:type="dxa"/>
            <w:vMerge w:val="restart"/>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23 250</w:t>
            </w:r>
          </w:p>
        </w:tc>
      </w:tr>
      <w:tr w:rsidR="00256E7F" w:rsidRPr="00256E7F" w:rsidTr="00256E7F">
        <w:trPr>
          <w:trHeight w:val="420"/>
        </w:trPr>
        <w:tc>
          <w:tcPr>
            <w:cnfStyle w:val="001000000000" w:firstRow="0" w:lastRow="0" w:firstColumn="1" w:lastColumn="0" w:oddVBand="0" w:evenVBand="0" w:oddHBand="0" w:evenHBand="0" w:firstRowFirstColumn="0" w:firstRowLastColumn="0" w:lastRowFirstColumn="0" w:lastRowLastColumn="0"/>
            <w:tcW w:w="1027" w:type="dxa"/>
            <w:vMerge/>
            <w:vAlign w:val="center"/>
          </w:tcPr>
          <w:p w:rsidR="00256E7F" w:rsidRPr="00256E7F" w:rsidRDefault="00256E7F" w:rsidP="00256E7F">
            <w:pPr>
              <w:ind w:right="41"/>
              <w:jc w:val="center"/>
              <w:rPr>
                <w:rFonts w:ascii="Geometr706 Md TL" w:hAnsi="Geometr706 Md TL"/>
                <w:color w:val="000000"/>
                <w:sz w:val="18"/>
                <w:szCs w:val="18"/>
              </w:rPr>
            </w:pPr>
          </w:p>
        </w:tc>
        <w:tc>
          <w:tcPr>
            <w:tcW w:w="2909" w:type="dxa"/>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Par normatīvo aktu prasībām neatbilstošas reklāmas sniegšanu vai izplatīšanu</w:t>
            </w:r>
          </w:p>
        </w:tc>
        <w:tc>
          <w:tcPr>
            <w:tcW w:w="1388" w:type="dxa"/>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111" w:type="dxa"/>
            <w:vMerge/>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388" w:type="dxa"/>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5</w:t>
            </w:r>
          </w:p>
        </w:tc>
        <w:tc>
          <w:tcPr>
            <w:tcW w:w="1388" w:type="dxa"/>
            <w:vMerge/>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r>
      <w:tr w:rsidR="00256E7F" w:rsidRPr="00256E7F" w:rsidTr="00256E7F">
        <w:trPr>
          <w:trHeight w:val="210"/>
        </w:trPr>
        <w:tc>
          <w:tcPr>
            <w:cnfStyle w:val="001000000000" w:firstRow="0" w:lastRow="0" w:firstColumn="1" w:lastColumn="0" w:oddVBand="0" w:evenVBand="0" w:oddHBand="0" w:evenHBand="0" w:firstRowFirstColumn="0" w:firstRowLastColumn="0" w:lastRowFirstColumn="0" w:lastRowLastColumn="0"/>
            <w:tcW w:w="1027" w:type="dxa"/>
            <w:vMerge/>
            <w:vAlign w:val="center"/>
          </w:tcPr>
          <w:p w:rsidR="00256E7F" w:rsidRPr="00256E7F" w:rsidRDefault="00256E7F" w:rsidP="00256E7F">
            <w:pPr>
              <w:ind w:right="41"/>
              <w:jc w:val="center"/>
              <w:rPr>
                <w:rFonts w:ascii="Geometr706 Md TL" w:hAnsi="Geometr706 Md TL"/>
                <w:color w:val="000000"/>
                <w:sz w:val="18"/>
                <w:szCs w:val="18"/>
              </w:rPr>
            </w:pPr>
          </w:p>
        </w:tc>
        <w:tc>
          <w:tcPr>
            <w:tcW w:w="2909" w:type="dxa"/>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Par negodīgu komercpraksi</w:t>
            </w:r>
          </w:p>
        </w:tc>
        <w:tc>
          <w:tcPr>
            <w:tcW w:w="1388" w:type="dxa"/>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111" w:type="dxa"/>
            <w:vMerge/>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388" w:type="dxa"/>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3</w:t>
            </w:r>
          </w:p>
        </w:tc>
        <w:tc>
          <w:tcPr>
            <w:tcW w:w="1388" w:type="dxa"/>
            <w:vMerge/>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r>
      <w:tr w:rsidR="00256E7F" w:rsidRPr="00256E7F" w:rsidTr="00256E7F">
        <w:trPr>
          <w:trHeight w:val="210"/>
        </w:trPr>
        <w:tc>
          <w:tcPr>
            <w:cnfStyle w:val="001000000000" w:firstRow="0" w:lastRow="0" w:firstColumn="1" w:lastColumn="0" w:oddVBand="0" w:evenVBand="0" w:oddHBand="0" w:evenHBand="0" w:firstRowFirstColumn="0" w:firstRowLastColumn="0" w:lastRowFirstColumn="0" w:lastRowLastColumn="0"/>
            <w:tcW w:w="1027" w:type="dxa"/>
            <w:vMerge w:val="restart"/>
            <w:shd w:val="clear" w:color="auto" w:fill="C6D9F1" w:themeFill="text2" w:themeFillTint="33"/>
            <w:noWrap/>
            <w:vAlign w:val="center"/>
          </w:tcPr>
          <w:p w:rsidR="00256E7F" w:rsidRPr="00256E7F" w:rsidRDefault="00256E7F" w:rsidP="00256E7F">
            <w:pPr>
              <w:ind w:right="41"/>
              <w:jc w:val="center"/>
              <w:rPr>
                <w:rFonts w:ascii="Geometr706 Md TL" w:hAnsi="Geometr706 Md TL"/>
                <w:color w:val="000000"/>
                <w:sz w:val="18"/>
                <w:szCs w:val="18"/>
              </w:rPr>
            </w:pPr>
            <w:r w:rsidRPr="00256E7F">
              <w:rPr>
                <w:rFonts w:ascii="Geometr706 Md TL" w:hAnsi="Geometr706 Md TL"/>
                <w:color w:val="000000"/>
                <w:sz w:val="18"/>
                <w:szCs w:val="18"/>
              </w:rPr>
              <w:t>166.15. p.</w:t>
            </w:r>
          </w:p>
        </w:tc>
        <w:tc>
          <w:tcPr>
            <w:tcW w:w="2909" w:type="dxa"/>
            <w:shd w:val="clear" w:color="auto" w:fill="C6D9F1" w:themeFill="text2" w:themeFillTint="33"/>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sz w:val="16"/>
                <w:szCs w:val="16"/>
              </w:rPr>
            </w:pPr>
            <w:r w:rsidRPr="00256E7F">
              <w:rPr>
                <w:rFonts w:ascii="Geometr706 Md TL" w:hAnsi="Geometr706 Md TL"/>
                <w:sz w:val="16"/>
                <w:szCs w:val="16"/>
              </w:rPr>
              <w:t>Nav preču atbilstības apliecinājumu vai apstiprinājumu</w:t>
            </w:r>
          </w:p>
        </w:tc>
        <w:tc>
          <w:tcPr>
            <w:tcW w:w="1388" w:type="dxa"/>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66</w:t>
            </w:r>
          </w:p>
        </w:tc>
        <w:tc>
          <w:tcPr>
            <w:tcW w:w="1111" w:type="dxa"/>
            <w:vMerge w:val="restart"/>
            <w:shd w:val="clear" w:color="auto" w:fill="C6D9F1" w:themeFill="text2" w:themeFillTint="33"/>
            <w:noWrap/>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18 420</w:t>
            </w:r>
          </w:p>
        </w:tc>
        <w:tc>
          <w:tcPr>
            <w:tcW w:w="1388" w:type="dxa"/>
            <w:shd w:val="clear" w:color="auto" w:fill="B8CCE4" w:themeFill="accent1" w:themeFillTint="66"/>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9</w:t>
            </w:r>
          </w:p>
        </w:tc>
        <w:tc>
          <w:tcPr>
            <w:tcW w:w="1388" w:type="dxa"/>
            <w:vMerge w:val="restart"/>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4060</w:t>
            </w:r>
          </w:p>
        </w:tc>
      </w:tr>
      <w:tr w:rsidR="00256E7F" w:rsidRPr="00256E7F" w:rsidTr="00256E7F">
        <w:trPr>
          <w:trHeight w:val="210"/>
        </w:trPr>
        <w:tc>
          <w:tcPr>
            <w:cnfStyle w:val="001000000000" w:firstRow="0" w:lastRow="0" w:firstColumn="1" w:lastColumn="0" w:oddVBand="0" w:evenVBand="0" w:oddHBand="0" w:evenHBand="0" w:firstRowFirstColumn="0" w:firstRowLastColumn="0" w:lastRowFirstColumn="0" w:lastRowLastColumn="0"/>
            <w:tcW w:w="1027" w:type="dxa"/>
            <w:vMerge/>
            <w:vAlign w:val="center"/>
          </w:tcPr>
          <w:p w:rsidR="00256E7F" w:rsidRPr="00256E7F" w:rsidRDefault="00256E7F" w:rsidP="00256E7F">
            <w:pPr>
              <w:ind w:right="41"/>
              <w:jc w:val="center"/>
              <w:rPr>
                <w:rFonts w:ascii="Geometr706 Md TL" w:hAnsi="Geometr706 Md TL"/>
                <w:color w:val="000000"/>
                <w:sz w:val="18"/>
                <w:szCs w:val="18"/>
              </w:rPr>
            </w:pPr>
          </w:p>
        </w:tc>
        <w:tc>
          <w:tcPr>
            <w:tcW w:w="2909" w:type="dxa"/>
            <w:shd w:val="clear" w:color="auto" w:fill="C6D9F1" w:themeFill="text2" w:themeFillTint="33"/>
            <w:noWrap/>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Cits</w:t>
            </w:r>
          </w:p>
        </w:tc>
        <w:tc>
          <w:tcPr>
            <w:tcW w:w="1388" w:type="dxa"/>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111" w:type="dxa"/>
            <w:vMerge/>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388" w:type="dxa"/>
            <w:shd w:val="clear" w:color="auto" w:fill="B8CCE4" w:themeFill="accent1" w:themeFillTint="66"/>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388" w:type="dxa"/>
            <w:vMerge/>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r>
      <w:tr w:rsidR="00256E7F" w:rsidRPr="00256E7F" w:rsidTr="00256E7F">
        <w:trPr>
          <w:trHeight w:val="210"/>
        </w:trPr>
        <w:tc>
          <w:tcPr>
            <w:cnfStyle w:val="001000000000" w:firstRow="0" w:lastRow="0" w:firstColumn="1" w:lastColumn="0" w:oddVBand="0" w:evenVBand="0" w:oddHBand="0" w:evenHBand="0" w:firstRowFirstColumn="0" w:firstRowLastColumn="0" w:lastRowFirstColumn="0" w:lastRowLastColumn="0"/>
            <w:tcW w:w="1027" w:type="dxa"/>
            <w:vMerge w:val="restart"/>
            <w:shd w:val="clear" w:color="auto" w:fill="FFFFFF" w:themeFill="background1"/>
            <w:noWrap/>
            <w:vAlign w:val="center"/>
          </w:tcPr>
          <w:p w:rsidR="00256E7F" w:rsidRPr="00256E7F" w:rsidRDefault="00256E7F" w:rsidP="00256E7F">
            <w:pPr>
              <w:ind w:right="41"/>
              <w:jc w:val="center"/>
              <w:rPr>
                <w:rFonts w:ascii="Geometr706 Md TL" w:hAnsi="Geometr706 Md TL"/>
                <w:color w:val="000000"/>
                <w:sz w:val="18"/>
                <w:szCs w:val="18"/>
              </w:rPr>
            </w:pPr>
            <w:r w:rsidRPr="00256E7F">
              <w:rPr>
                <w:rFonts w:ascii="Geometr706 Md TL" w:hAnsi="Geometr706 Md TL"/>
                <w:color w:val="000000"/>
                <w:sz w:val="18"/>
                <w:szCs w:val="18"/>
              </w:rPr>
              <w:t>175.9. p.</w:t>
            </w:r>
          </w:p>
        </w:tc>
        <w:tc>
          <w:tcPr>
            <w:tcW w:w="2909" w:type="dxa"/>
            <w:shd w:val="clear" w:color="auto" w:fill="FFFFFF" w:themeFill="background1"/>
            <w:noWrap/>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Uzņēmējs nav sniedzis pieprasīto informāciju PTAC</w:t>
            </w:r>
          </w:p>
        </w:tc>
        <w:tc>
          <w:tcPr>
            <w:tcW w:w="1388" w:type="dxa"/>
            <w:shd w:val="clear" w:color="auto" w:fill="FFFFFF" w:themeFill="background1"/>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118</w:t>
            </w:r>
          </w:p>
        </w:tc>
        <w:tc>
          <w:tcPr>
            <w:tcW w:w="1111" w:type="dxa"/>
            <w:vMerge w:val="restart"/>
            <w:shd w:val="clear" w:color="auto" w:fill="FFFFFF" w:themeFill="background1"/>
            <w:noWrap/>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29 095</w:t>
            </w:r>
          </w:p>
        </w:tc>
        <w:tc>
          <w:tcPr>
            <w:tcW w:w="1388" w:type="dxa"/>
            <w:shd w:val="clear" w:color="auto" w:fill="auto"/>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75</w:t>
            </w:r>
          </w:p>
        </w:tc>
        <w:tc>
          <w:tcPr>
            <w:tcW w:w="1388" w:type="dxa"/>
            <w:vMerge w:val="restart"/>
            <w:shd w:val="clear" w:color="auto" w:fill="FFFFFF" w:themeFill="background1"/>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14 740</w:t>
            </w:r>
          </w:p>
        </w:tc>
      </w:tr>
      <w:tr w:rsidR="00256E7F" w:rsidRPr="00256E7F" w:rsidTr="00256E7F">
        <w:trPr>
          <w:trHeight w:val="210"/>
        </w:trPr>
        <w:tc>
          <w:tcPr>
            <w:cnfStyle w:val="001000000000" w:firstRow="0" w:lastRow="0" w:firstColumn="1" w:lastColumn="0" w:oddVBand="0" w:evenVBand="0" w:oddHBand="0" w:evenHBand="0" w:firstRowFirstColumn="0" w:firstRowLastColumn="0" w:lastRowFirstColumn="0" w:lastRowLastColumn="0"/>
            <w:tcW w:w="1027" w:type="dxa"/>
            <w:vMerge/>
            <w:shd w:val="clear" w:color="auto" w:fill="FFFFFF" w:themeFill="background1"/>
            <w:vAlign w:val="center"/>
          </w:tcPr>
          <w:p w:rsidR="00256E7F" w:rsidRPr="00256E7F" w:rsidRDefault="00256E7F" w:rsidP="00256E7F">
            <w:pPr>
              <w:ind w:right="41"/>
              <w:jc w:val="center"/>
              <w:rPr>
                <w:rFonts w:ascii="Geometr706 Md TL" w:hAnsi="Geometr706 Md TL"/>
                <w:color w:val="000000"/>
                <w:sz w:val="18"/>
                <w:szCs w:val="18"/>
              </w:rPr>
            </w:pPr>
          </w:p>
        </w:tc>
        <w:tc>
          <w:tcPr>
            <w:tcW w:w="2909" w:type="dxa"/>
            <w:shd w:val="clear" w:color="auto" w:fill="FFFFFF" w:themeFill="background1"/>
            <w:noWrap/>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Uzņēmējs nav pildījis PTAC lēmumu</w:t>
            </w:r>
          </w:p>
        </w:tc>
        <w:tc>
          <w:tcPr>
            <w:tcW w:w="1388" w:type="dxa"/>
            <w:shd w:val="clear" w:color="auto" w:fill="FFFFFF" w:themeFill="background1"/>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111" w:type="dxa"/>
            <w:vMerge/>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388" w:type="dxa"/>
            <w:shd w:val="clear" w:color="auto" w:fill="auto"/>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r w:rsidRPr="00256E7F">
              <w:rPr>
                <w:rFonts w:ascii="Geometr706 Md TL" w:hAnsi="Geometr706 Md TL"/>
                <w:color w:val="000000"/>
                <w:sz w:val="18"/>
                <w:szCs w:val="18"/>
              </w:rPr>
              <w:t>3</w:t>
            </w:r>
          </w:p>
        </w:tc>
        <w:tc>
          <w:tcPr>
            <w:tcW w:w="1388" w:type="dxa"/>
            <w:vMerge/>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r>
      <w:tr w:rsidR="00256E7F" w:rsidRPr="00256E7F" w:rsidTr="00256E7F">
        <w:trPr>
          <w:trHeight w:val="210"/>
        </w:trPr>
        <w:tc>
          <w:tcPr>
            <w:cnfStyle w:val="001000000000" w:firstRow="0" w:lastRow="0" w:firstColumn="1" w:lastColumn="0" w:oddVBand="0" w:evenVBand="0" w:oddHBand="0" w:evenHBand="0" w:firstRowFirstColumn="0" w:firstRowLastColumn="0" w:lastRowFirstColumn="0" w:lastRowLastColumn="0"/>
            <w:tcW w:w="1027" w:type="dxa"/>
            <w:vMerge/>
            <w:tcBorders>
              <w:bottom w:val="single" w:sz="12" w:space="0" w:color="4F81BD" w:themeColor="accent1"/>
            </w:tcBorders>
            <w:shd w:val="clear" w:color="auto" w:fill="FFFFFF" w:themeFill="background1"/>
            <w:vAlign w:val="center"/>
          </w:tcPr>
          <w:p w:rsidR="00256E7F" w:rsidRPr="00256E7F" w:rsidRDefault="00256E7F" w:rsidP="00256E7F">
            <w:pPr>
              <w:ind w:right="41"/>
              <w:jc w:val="center"/>
              <w:rPr>
                <w:rFonts w:ascii="Geometr706 Md TL" w:hAnsi="Geometr706 Md TL"/>
                <w:color w:val="000000"/>
                <w:sz w:val="18"/>
                <w:szCs w:val="18"/>
              </w:rPr>
            </w:pPr>
          </w:p>
        </w:tc>
        <w:tc>
          <w:tcPr>
            <w:tcW w:w="2909" w:type="dxa"/>
            <w:tcBorders>
              <w:bottom w:val="single" w:sz="12" w:space="0" w:color="4F81BD" w:themeColor="accent1"/>
            </w:tcBorders>
            <w:shd w:val="clear" w:color="auto" w:fill="FFFFFF" w:themeFill="background1"/>
            <w:noWrap/>
            <w:vAlign w:val="center"/>
          </w:tcPr>
          <w:p w:rsidR="00256E7F" w:rsidRPr="00256E7F" w:rsidRDefault="00256E7F" w:rsidP="00256E7F">
            <w:pPr>
              <w:ind w:right="41"/>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r w:rsidRPr="00256E7F">
              <w:rPr>
                <w:rFonts w:ascii="Geometr706 Md TL" w:hAnsi="Geometr706 Md TL"/>
                <w:color w:val="000000"/>
                <w:sz w:val="16"/>
                <w:szCs w:val="16"/>
              </w:rPr>
              <w:t>Cits</w:t>
            </w:r>
          </w:p>
        </w:tc>
        <w:tc>
          <w:tcPr>
            <w:tcW w:w="1388" w:type="dxa"/>
            <w:tcBorders>
              <w:bottom w:val="single" w:sz="12" w:space="0" w:color="4F81BD" w:themeColor="accent1"/>
            </w:tcBorders>
            <w:shd w:val="clear" w:color="auto" w:fill="FFFFFF" w:themeFill="background1"/>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8"/>
                <w:szCs w:val="18"/>
              </w:rPr>
            </w:pPr>
          </w:p>
        </w:tc>
        <w:tc>
          <w:tcPr>
            <w:tcW w:w="1111" w:type="dxa"/>
            <w:vMerge/>
            <w:tcBorders>
              <w:bottom w:val="single" w:sz="12" w:space="0" w:color="4F81BD" w:themeColor="accent1"/>
            </w:tcBorders>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p>
        </w:tc>
        <w:tc>
          <w:tcPr>
            <w:tcW w:w="1388" w:type="dxa"/>
            <w:tcBorders>
              <w:bottom w:val="single" w:sz="12" w:space="0" w:color="4F81BD" w:themeColor="accent1"/>
            </w:tcBorders>
            <w:shd w:val="clear" w:color="auto" w:fill="auto"/>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p>
        </w:tc>
        <w:tc>
          <w:tcPr>
            <w:tcW w:w="1388" w:type="dxa"/>
            <w:vMerge/>
            <w:tcBorders>
              <w:bottom w:val="single" w:sz="12" w:space="0" w:color="4F81BD" w:themeColor="accent1"/>
            </w:tcBorders>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color w:val="000000"/>
                <w:sz w:val="16"/>
                <w:szCs w:val="16"/>
              </w:rPr>
            </w:pPr>
          </w:p>
        </w:tc>
      </w:tr>
      <w:tr w:rsidR="00256E7F" w:rsidRPr="00256E7F" w:rsidTr="00256E7F">
        <w:trPr>
          <w:trHeight w:val="255"/>
        </w:trPr>
        <w:tc>
          <w:tcPr>
            <w:cnfStyle w:val="001000000000" w:firstRow="0" w:lastRow="0" w:firstColumn="1" w:lastColumn="0" w:oddVBand="0" w:evenVBand="0" w:oddHBand="0" w:evenHBand="0" w:firstRowFirstColumn="0" w:firstRowLastColumn="0" w:lastRowFirstColumn="0" w:lastRowLastColumn="0"/>
            <w:tcW w:w="3936" w:type="dxa"/>
            <w:gridSpan w:val="2"/>
            <w:tcBorders>
              <w:top w:val="single" w:sz="12" w:space="0" w:color="4F81BD" w:themeColor="accent1"/>
            </w:tcBorders>
            <w:shd w:val="clear" w:color="auto" w:fill="C6D9F1" w:themeFill="text2" w:themeFillTint="33"/>
            <w:noWrap/>
            <w:vAlign w:val="center"/>
          </w:tcPr>
          <w:p w:rsidR="00256E7F" w:rsidRPr="00256E7F" w:rsidRDefault="00256E7F" w:rsidP="00256E7F">
            <w:pPr>
              <w:ind w:right="41"/>
              <w:rPr>
                <w:rFonts w:ascii="Geometr706 Md TL" w:hAnsi="Geometr706 Md TL"/>
                <w:bCs w:val="0"/>
                <w:color w:val="000000"/>
                <w:sz w:val="18"/>
                <w:szCs w:val="18"/>
              </w:rPr>
            </w:pPr>
            <w:r w:rsidRPr="00256E7F">
              <w:rPr>
                <w:rFonts w:ascii="Geometr706 Md TL" w:hAnsi="Geometr706 Md TL"/>
                <w:bCs w:val="0"/>
                <w:color w:val="000000"/>
                <w:sz w:val="18"/>
                <w:szCs w:val="18"/>
              </w:rPr>
              <w:t>Izskatītās lietas un piemērotais naudas sods kopā:</w:t>
            </w:r>
          </w:p>
        </w:tc>
        <w:tc>
          <w:tcPr>
            <w:tcW w:w="1388" w:type="dxa"/>
            <w:tcBorders>
              <w:top w:val="single" w:sz="12" w:space="0" w:color="4F81BD" w:themeColor="accent1"/>
            </w:tcBorders>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b/>
                <w:bCs/>
                <w:color w:val="000000"/>
                <w:sz w:val="18"/>
                <w:szCs w:val="18"/>
              </w:rPr>
            </w:pPr>
            <w:r w:rsidRPr="00256E7F">
              <w:rPr>
                <w:rFonts w:ascii="Geometr706 Md TL" w:hAnsi="Geometr706 Md TL"/>
                <w:b/>
                <w:bCs/>
                <w:color w:val="000000"/>
                <w:sz w:val="18"/>
                <w:szCs w:val="18"/>
              </w:rPr>
              <w:t>471</w:t>
            </w:r>
          </w:p>
        </w:tc>
        <w:tc>
          <w:tcPr>
            <w:tcW w:w="1111" w:type="dxa"/>
            <w:tcBorders>
              <w:top w:val="single" w:sz="12" w:space="0" w:color="4F81BD" w:themeColor="accent1"/>
            </w:tcBorders>
            <w:shd w:val="clear" w:color="auto" w:fill="C6D9F1" w:themeFill="text2" w:themeFillTint="33"/>
            <w:noWrap/>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b/>
                <w:bCs/>
                <w:color w:val="000000"/>
                <w:sz w:val="18"/>
                <w:szCs w:val="18"/>
              </w:rPr>
            </w:pPr>
            <w:r w:rsidRPr="00256E7F">
              <w:rPr>
                <w:rFonts w:ascii="Geometr706 Md TL" w:hAnsi="Geometr706 Md TL"/>
                <w:b/>
                <w:bCs/>
                <w:color w:val="000000"/>
                <w:sz w:val="18"/>
                <w:szCs w:val="18"/>
              </w:rPr>
              <w:t>142 965</w:t>
            </w:r>
          </w:p>
        </w:tc>
        <w:tc>
          <w:tcPr>
            <w:tcW w:w="1388" w:type="dxa"/>
            <w:tcBorders>
              <w:top w:val="single" w:sz="12" w:space="0" w:color="4F81BD" w:themeColor="accent1"/>
            </w:tcBorders>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b/>
                <w:bCs/>
                <w:color w:val="000000"/>
                <w:sz w:val="18"/>
                <w:szCs w:val="18"/>
              </w:rPr>
            </w:pPr>
            <w:r w:rsidRPr="00256E7F">
              <w:rPr>
                <w:rFonts w:ascii="Geometr706 Md TL" w:hAnsi="Geometr706 Md TL"/>
                <w:b/>
                <w:bCs/>
                <w:color w:val="000000"/>
                <w:sz w:val="18"/>
                <w:szCs w:val="18"/>
              </w:rPr>
              <w:t>264</w:t>
            </w:r>
          </w:p>
        </w:tc>
        <w:tc>
          <w:tcPr>
            <w:tcW w:w="1388" w:type="dxa"/>
            <w:tcBorders>
              <w:top w:val="single" w:sz="12" w:space="0" w:color="4F81BD" w:themeColor="accent1"/>
            </w:tcBorders>
            <w:shd w:val="clear" w:color="auto" w:fill="C6D9F1" w:themeFill="text2" w:themeFillTint="33"/>
            <w:vAlign w:val="center"/>
          </w:tcPr>
          <w:p w:rsidR="00256E7F" w:rsidRPr="00256E7F" w:rsidRDefault="00256E7F" w:rsidP="00256E7F">
            <w:pPr>
              <w:ind w:right="41"/>
              <w:jc w:val="center"/>
              <w:cnfStyle w:val="000000000000" w:firstRow="0" w:lastRow="0" w:firstColumn="0" w:lastColumn="0" w:oddVBand="0" w:evenVBand="0" w:oddHBand="0" w:evenHBand="0" w:firstRowFirstColumn="0" w:firstRowLastColumn="0" w:lastRowFirstColumn="0" w:lastRowLastColumn="0"/>
              <w:rPr>
                <w:rFonts w:ascii="Geometr706 Md TL" w:hAnsi="Geometr706 Md TL"/>
                <w:b/>
                <w:bCs/>
                <w:color w:val="000000"/>
                <w:sz w:val="18"/>
                <w:szCs w:val="18"/>
              </w:rPr>
            </w:pPr>
            <w:r w:rsidRPr="00256E7F">
              <w:rPr>
                <w:rFonts w:ascii="Geometr706 Md TL" w:hAnsi="Geometr706 Md TL"/>
                <w:b/>
                <w:bCs/>
                <w:color w:val="000000"/>
                <w:sz w:val="18"/>
                <w:szCs w:val="18"/>
              </w:rPr>
              <w:t>66 890</w:t>
            </w:r>
          </w:p>
        </w:tc>
      </w:tr>
    </w:tbl>
    <w:p w:rsidR="00256E7F" w:rsidRPr="00256E7F" w:rsidRDefault="00256E7F" w:rsidP="00256E7F">
      <w:pPr>
        <w:ind w:firstLine="720"/>
        <w:rPr>
          <w:rFonts w:ascii="Geometr706 Md TL" w:hAnsi="Geometr706 Md TL"/>
        </w:rPr>
      </w:pPr>
    </w:p>
    <w:p w:rsidR="00256E7F" w:rsidRPr="00256E7F" w:rsidRDefault="00256E7F" w:rsidP="00FB7347">
      <w:pPr>
        <w:pStyle w:val="Heading3"/>
        <w:spacing w:after="240"/>
        <w:jc w:val="center"/>
        <w:rPr>
          <w:rFonts w:ascii="Geometr706 Md TL" w:hAnsi="Geometr706 Md TL"/>
        </w:rPr>
      </w:pPr>
      <w:bookmarkStart w:id="74" w:name="_2.3.10._Eiropas_Patērētāju"/>
      <w:bookmarkStart w:id="75" w:name="_Toc380143883"/>
      <w:bookmarkStart w:id="76" w:name="_Toc380147123"/>
      <w:bookmarkStart w:id="77" w:name="_Toc392836109"/>
      <w:bookmarkEnd w:id="74"/>
      <w:r w:rsidRPr="00256E7F">
        <w:rPr>
          <w:rFonts w:ascii="Geometr706 Md TL" w:hAnsi="Geometr706 Md TL"/>
        </w:rPr>
        <w:t>2.3.10. Eiropas Patērētāju informēšanas centrs</w:t>
      </w:r>
      <w:bookmarkEnd w:id="75"/>
      <w:bookmarkEnd w:id="76"/>
      <w:bookmarkEnd w:id="77"/>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 xml:space="preserve">Atbalstu patērētājiem pārrobežu pirkumu gadījumos nodrošina Eiropas Patērētāju informēšanas centrs – </w:t>
      </w:r>
      <w:r w:rsidRPr="00FB7347">
        <w:rPr>
          <w:rFonts w:ascii="Geometr706 Md TL" w:hAnsi="Geometr706 Md TL"/>
          <w:i/>
          <w:sz w:val="20"/>
          <w:szCs w:val="20"/>
        </w:rPr>
        <w:t xml:space="preserve">ECC </w:t>
      </w:r>
      <w:proofErr w:type="spellStart"/>
      <w:r w:rsidRPr="00FB7347">
        <w:rPr>
          <w:rFonts w:ascii="Geometr706 Md TL" w:hAnsi="Geometr706 Md TL"/>
          <w:i/>
          <w:sz w:val="20"/>
          <w:szCs w:val="20"/>
        </w:rPr>
        <w:t>Latvia</w:t>
      </w:r>
      <w:proofErr w:type="spellEnd"/>
      <w:r w:rsidRPr="00FB7347">
        <w:rPr>
          <w:rFonts w:ascii="Geometr706 Md TL" w:hAnsi="Geometr706 Md TL"/>
          <w:sz w:val="20"/>
          <w:szCs w:val="20"/>
        </w:rPr>
        <w:t xml:space="preserve">, kas ir izveidots kā PTAC struktūrvienība un kuru 50 % apmērā līdzfinansē EK. 2013. gadā patērētājiem sniegtas 677 konsultācijas un izskatītas 194 sūdzības par pārrobežu pirkumiem ES ietvaros. Salīdzinot 2013. gada darbības rezultātus ar 2012. gadu, </w:t>
      </w:r>
      <w:r w:rsidRPr="00FB7347">
        <w:rPr>
          <w:rFonts w:ascii="Geometr706 Md TL" w:hAnsi="Geometr706 Md TL"/>
          <w:i/>
          <w:sz w:val="20"/>
          <w:szCs w:val="20"/>
        </w:rPr>
        <w:t xml:space="preserve">ECC </w:t>
      </w:r>
      <w:proofErr w:type="spellStart"/>
      <w:r w:rsidRPr="00FB7347">
        <w:rPr>
          <w:rFonts w:ascii="Geometr706 Md TL" w:hAnsi="Geometr706 Md TL"/>
          <w:i/>
          <w:sz w:val="20"/>
          <w:szCs w:val="20"/>
        </w:rPr>
        <w:t>Latvia</w:t>
      </w:r>
      <w:proofErr w:type="spellEnd"/>
      <w:r w:rsidRPr="00FB7347">
        <w:rPr>
          <w:rFonts w:ascii="Geometr706 Md TL" w:hAnsi="Geometr706 Md TL"/>
          <w:i/>
          <w:sz w:val="20"/>
          <w:szCs w:val="20"/>
        </w:rPr>
        <w:t xml:space="preserve"> </w:t>
      </w:r>
      <w:r w:rsidRPr="00FB7347">
        <w:rPr>
          <w:rFonts w:ascii="Geometr706 Md TL" w:hAnsi="Geometr706 Md TL"/>
          <w:sz w:val="20"/>
          <w:szCs w:val="20"/>
        </w:rPr>
        <w:t>saņemto konsultāciju pieprasījumu skaits pieaudzis par 15 %, savukārt saņemto sūdzību skaits – par 12 %. Tendence ir skaidrojama ar to, ka aizvien biežāk patērētāji izmanto iespēju iepirkties vienotajā ES tirgū un kļūst aizvien zinošāki par savām tiesībām un savu tiesību īstenošanas iespējām.</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 xml:space="preserve">Lai popularizētu pārrobežu strīdus risināšanas iespējas ES, no 2013. gada 8. februāra līdz 10. februārim </w:t>
      </w:r>
      <w:r w:rsidRPr="00FB7347">
        <w:rPr>
          <w:rFonts w:ascii="Geometr706 Md TL" w:hAnsi="Geometr706 Md TL"/>
          <w:i/>
          <w:sz w:val="20"/>
          <w:szCs w:val="20"/>
        </w:rPr>
        <w:t xml:space="preserve">ECC </w:t>
      </w:r>
      <w:proofErr w:type="spellStart"/>
      <w:r w:rsidRPr="00FB7347">
        <w:rPr>
          <w:rFonts w:ascii="Geometr706 Md TL" w:hAnsi="Geometr706 Md TL"/>
          <w:i/>
          <w:sz w:val="20"/>
          <w:szCs w:val="20"/>
        </w:rPr>
        <w:t>Latvia</w:t>
      </w:r>
      <w:proofErr w:type="spellEnd"/>
      <w:r w:rsidRPr="00FB7347">
        <w:rPr>
          <w:rFonts w:ascii="Geometr706 Md TL" w:hAnsi="Geometr706 Md TL"/>
          <w:sz w:val="20"/>
          <w:szCs w:val="20"/>
        </w:rPr>
        <w:t xml:space="preserve"> pārstāvji piedalījās starptautiskajā tūrisma izstādē „</w:t>
      </w:r>
      <w:proofErr w:type="spellStart"/>
      <w:r w:rsidRPr="00FB7347">
        <w:rPr>
          <w:rFonts w:ascii="Geometr706 Md TL" w:hAnsi="Geometr706 Md TL"/>
          <w:sz w:val="20"/>
          <w:szCs w:val="20"/>
        </w:rPr>
        <w:t>Balttour</w:t>
      </w:r>
      <w:proofErr w:type="spellEnd"/>
      <w:r w:rsidRPr="00FB7347">
        <w:rPr>
          <w:rFonts w:ascii="Geometr706 Md TL" w:hAnsi="Geometr706 Md TL"/>
          <w:sz w:val="20"/>
          <w:szCs w:val="20"/>
        </w:rPr>
        <w:t xml:space="preserve"> 2013”, sniedzot informāciju par </w:t>
      </w:r>
      <w:r w:rsidRPr="00FB7347">
        <w:rPr>
          <w:rFonts w:ascii="Geometr706 Md TL" w:hAnsi="Geometr706 Md TL"/>
          <w:i/>
          <w:sz w:val="20"/>
          <w:szCs w:val="20"/>
        </w:rPr>
        <w:t xml:space="preserve">ECC </w:t>
      </w:r>
      <w:proofErr w:type="spellStart"/>
      <w:r w:rsidRPr="00FB7347">
        <w:rPr>
          <w:rFonts w:ascii="Geometr706 Md TL" w:hAnsi="Geometr706 Md TL"/>
          <w:i/>
          <w:sz w:val="20"/>
          <w:szCs w:val="20"/>
        </w:rPr>
        <w:t>Latvia</w:t>
      </w:r>
      <w:proofErr w:type="spellEnd"/>
      <w:r w:rsidRPr="00FB7347">
        <w:rPr>
          <w:rFonts w:ascii="Geometr706 Md TL" w:hAnsi="Geometr706 Md TL"/>
          <w:sz w:val="20"/>
          <w:szCs w:val="20"/>
        </w:rPr>
        <w:t xml:space="preserve"> darbību, ES normatīvajiem aktiem patērētāju tiesību aizsardzības jomā, kā arī izplatīja informatīvos materiālus par patērētāju tiesībām ES.</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 xml:space="preserve">2013. gada 15. martā </w:t>
      </w:r>
      <w:r w:rsidRPr="00FB7347">
        <w:rPr>
          <w:rFonts w:ascii="Geometr706 Md TL" w:hAnsi="Geometr706 Md TL"/>
          <w:i/>
          <w:sz w:val="20"/>
          <w:szCs w:val="20"/>
        </w:rPr>
        <w:t xml:space="preserve">ECC </w:t>
      </w:r>
      <w:proofErr w:type="spellStart"/>
      <w:r w:rsidRPr="00FB7347">
        <w:rPr>
          <w:rFonts w:ascii="Geometr706 Md TL" w:hAnsi="Geometr706 Md TL"/>
          <w:i/>
          <w:sz w:val="20"/>
          <w:szCs w:val="20"/>
        </w:rPr>
        <w:t>Latvia</w:t>
      </w:r>
      <w:proofErr w:type="spellEnd"/>
      <w:r w:rsidRPr="00FB7347">
        <w:rPr>
          <w:rFonts w:ascii="Geometr706 Md TL" w:hAnsi="Geometr706 Md TL"/>
          <w:sz w:val="20"/>
          <w:szCs w:val="20"/>
        </w:rPr>
        <w:t xml:space="preserve"> pārstāvji piedalījās Lietuvas </w:t>
      </w:r>
      <w:proofErr w:type="spellStart"/>
      <w:r w:rsidRPr="00FB7347">
        <w:rPr>
          <w:rFonts w:ascii="Geometr706 Md TL" w:hAnsi="Geometr706 Md TL"/>
          <w:sz w:val="20"/>
          <w:szCs w:val="20"/>
        </w:rPr>
        <w:t>Mīkolas</w:t>
      </w:r>
      <w:proofErr w:type="spellEnd"/>
      <w:r w:rsidRPr="00FB7347">
        <w:rPr>
          <w:rFonts w:ascii="Geometr706 Md TL" w:hAnsi="Geometr706 Md TL"/>
          <w:sz w:val="20"/>
          <w:szCs w:val="20"/>
        </w:rPr>
        <w:t xml:space="preserve"> </w:t>
      </w:r>
      <w:proofErr w:type="spellStart"/>
      <w:r w:rsidRPr="00FB7347">
        <w:rPr>
          <w:rFonts w:ascii="Geometr706 Md TL" w:hAnsi="Geometr706 Md TL"/>
          <w:sz w:val="20"/>
          <w:szCs w:val="20"/>
        </w:rPr>
        <w:t>Romeris</w:t>
      </w:r>
      <w:proofErr w:type="spellEnd"/>
      <w:r w:rsidRPr="00FB7347">
        <w:rPr>
          <w:rFonts w:ascii="Geometr706 Md TL" w:hAnsi="Geometr706 Md TL"/>
          <w:sz w:val="20"/>
          <w:szCs w:val="20"/>
        </w:rPr>
        <w:t xml:space="preserve"> Universitātes organizētajā konferencē un sniedza prezentāciju „Patērētāju tiesības, veicot pārrobežu pirkumus internetā”.</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 xml:space="preserve">2013. gada 19. martā </w:t>
      </w:r>
      <w:r w:rsidRPr="00FB7347">
        <w:rPr>
          <w:rFonts w:ascii="Geometr706 Md TL" w:hAnsi="Geometr706 Md TL"/>
          <w:i/>
          <w:sz w:val="20"/>
          <w:szCs w:val="20"/>
        </w:rPr>
        <w:t xml:space="preserve">ECC </w:t>
      </w:r>
      <w:proofErr w:type="spellStart"/>
      <w:r w:rsidRPr="00FB7347">
        <w:rPr>
          <w:rFonts w:ascii="Geometr706 Md TL" w:hAnsi="Geometr706 Md TL"/>
          <w:i/>
          <w:sz w:val="20"/>
          <w:szCs w:val="20"/>
        </w:rPr>
        <w:t>Latvia</w:t>
      </w:r>
      <w:proofErr w:type="spellEnd"/>
      <w:r w:rsidRPr="00FB7347">
        <w:rPr>
          <w:rFonts w:ascii="Geometr706 Md TL" w:hAnsi="Geometr706 Md TL"/>
          <w:sz w:val="20"/>
          <w:szCs w:val="20"/>
        </w:rPr>
        <w:t xml:space="preserve"> pārstāvji piedalījās e-prasmju nedēļas ietvaros organizētajā e-konferencē tiešraidē „Digitālais piedzīvojums”, kur sniedza prezentāciju „Patērētāju tiesības, veicot pārrobežu pirkumus internetā”.</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 xml:space="preserve">2013. gada 11. aprīlī Liepājas Universitātē un </w:t>
      </w:r>
      <w:proofErr w:type="spellStart"/>
      <w:r w:rsidRPr="00FB7347">
        <w:rPr>
          <w:rFonts w:ascii="Geometr706 Md TL" w:hAnsi="Geometr706 Md TL"/>
          <w:i/>
          <w:sz w:val="20"/>
          <w:szCs w:val="20"/>
        </w:rPr>
        <w:t>Europe</w:t>
      </w:r>
      <w:proofErr w:type="spellEnd"/>
      <w:r w:rsidRPr="00FB7347">
        <w:rPr>
          <w:rFonts w:ascii="Geometr706 Md TL" w:hAnsi="Geometr706 Md TL"/>
          <w:i/>
          <w:sz w:val="20"/>
          <w:szCs w:val="20"/>
        </w:rPr>
        <w:t xml:space="preserve"> </w:t>
      </w:r>
      <w:proofErr w:type="spellStart"/>
      <w:r w:rsidRPr="00FB7347">
        <w:rPr>
          <w:rFonts w:ascii="Geometr706 Md TL" w:hAnsi="Geometr706 Md TL"/>
          <w:i/>
          <w:sz w:val="20"/>
          <w:szCs w:val="20"/>
        </w:rPr>
        <w:t>Direct</w:t>
      </w:r>
      <w:proofErr w:type="spellEnd"/>
      <w:r w:rsidRPr="00FB7347">
        <w:rPr>
          <w:rFonts w:ascii="Geometr706 Md TL" w:hAnsi="Geometr706 Md TL"/>
          <w:sz w:val="20"/>
          <w:szCs w:val="20"/>
        </w:rPr>
        <w:t xml:space="preserve"> informācijas centrā Liepājā sniegtas prezentācijas semināros „Der zināt” par patērētāju tiesībām ES un organizētas viktorīnas, kuru dalībnieki balvās saņēma </w:t>
      </w:r>
      <w:r w:rsidRPr="00FB7347">
        <w:rPr>
          <w:rFonts w:ascii="Geometr706 Md TL" w:hAnsi="Geometr706 Md TL"/>
          <w:i/>
          <w:sz w:val="20"/>
          <w:szCs w:val="20"/>
        </w:rPr>
        <w:t xml:space="preserve">ECC </w:t>
      </w:r>
      <w:proofErr w:type="spellStart"/>
      <w:r w:rsidRPr="00FB7347">
        <w:rPr>
          <w:rFonts w:ascii="Geometr706 Md TL" w:hAnsi="Geometr706 Md TL"/>
          <w:i/>
          <w:sz w:val="20"/>
          <w:szCs w:val="20"/>
        </w:rPr>
        <w:t>Latvia</w:t>
      </w:r>
      <w:proofErr w:type="spellEnd"/>
      <w:r w:rsidRPr="00FB7347">
        <w:rPr>
          <w:rFonts w:ascii="Geometr706 Md TL" w:hAnsi="Geometr706 Md TL"/>
          <w:sz w:val="20"/>
          <w:szCs w:val="20"/>
        </w:rPr>
        <w:t xml:space="preserve"> sagatavotos reklāmas materiālus.</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 xml:space="preserve">2013. gadā tika turpināta sadarbība ar Saldus pilsētas bibliotēkas ES informācijas punktu (ESIP), kas savā mājaslapā tiešsaistē organizēja konkursus par dažādiem ES jautājumiem, tostarp par patērētāju tiesību aizsardzību ES, </w:t>
      </w:r>
      <w:r w:rsidRPr="00FB7347">
        <w:rPr>
          <w:rFonts w:ascii="Geometr706 Md TL" w:hAnsi="Geometr706 Md TL"/>
          <w:i/>
          <w:sz w:val="20"/>
          <w:szCs w:val="20"/>
        </w:rPr>
        <w:t>ECC-</w:t>
      </w:r>
      <w:proofErr w:type="spellStart"/>
      <w:r w:rsidRPr="00FB7347">
        <w:rPr>
          <w:rFonts w:ascii="Geometr706 Md TL" w:hAnsi="Geometr706 Md TL"/>
          <w:i/>
          <w:sz w:val="20"/>
          <w:szCs w:val="20"/>
        </w:rPr>
        <w:t>Net</w:t>
      </w:r>
      <w:proofErr w:type="spellEnd"/>
      <w:r w:rsidRPr="00FB7347">
        <w:rPr>
          <w:rFonts w:ascii="Geometr706 Md TL" w:hAnsi="Geometr706 Md TL"/>
          <w:sz w:val="20"/>
          <w:szCs w:val="20"/>
        </w:rPr>
        <w:t xml:space="preserve"> darbību u. c. jautājumiem.</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lastRenderedPageBreak/>
        <w:t xml:space="preserve">2013. gada 1. jūlijā </w:t>
      </w:r>
      <w:r w:rsidRPr="00FB7347">
        <w:rPr>
          <w:rFonts w:ascii="Geometr706 Md TL" w:hAnsi="Geometr706 Md TL"/>
          <w:i/>
          <w:sz w:val="20"/>
          <w:szCs w:val="20"/>
        </w:rPr>
        <w:t xml:space="preserve">ECC </w:t>
      </w:r>
      <w:proofErr w:type="spellStart"/>
      <w:r w:rsidRPr="00FB7347">
        <w:rPr>
          <w:rFonts w:ascii="Geometr706 Md TL" w:hAnsi="Geometr706 Md TL"/>
          <w:i/>
          <w:sz w:val="20"/>
          <w:szCs w:val="20"/>
        </w:rPr>
        <w:t>Latvia</w:t>
      </w:r>
      <w:proofErr w:type="spellEnd"/>
      <w:r w:rsidRPr="00FB7347">
        <w:rPr>
          <w:rFonts w:ascii="Geometr706 Md TL" w:hAnsi="Geometr706 Md TL"/>
          <w:sz w:val="20"/>
          <w:szCs w:val="20"/>
        </w:rPr>
        <w:t xml:space="preserve"> piedalījās Eiropas forumā Eiropas patērētājiem Strasbūrā, kur tika organizētas viktorīnas par patērētāju tiesībām ES.</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 xml:space="preserve">2013. gada 4. jūnijā Eiropas </w:t>
      </w:r>
      <w:proofErr w:type="spellStart"/>
      <w:r w:rsidRPr="00FB7347">
        <w:rPr>
          <w:rFonts w:ascii="Geometr706 Md TL" w:hAnsi="Geometr706 Md TL"/>
          <w:sz w:val="20"/>
          <w:szCs w:val="20"/>
        </w:rPr>
        <w:t>aviopasažieru</w:t>
      </w:r>
      <w:proofErr w:type="spellEnd"/>
      <w:r w:rsidRPr="00FB7347">
        <w:rPr>
          <w:rFonts w:ascii="Geometr706 Md TL" w:hAnsi="Geometr706 Md TL"/>
          <w:sz w:val="20"/>
          <w:szCs w:val="20"/>
        </w:rPr>
        <w:t xml:space="preserve"> dienā </w:t>
      </w:r>
      <w:r w:rsidRPr="00FB7347">
        <w:rPr>
          <w:rFonts w:ascii="Geometr706 Md TL" w:hAnsi="Geometr706 Md TL"/>
          <w:i/>
          <w:sz w:val="20"/>
          <w:szCs w:val="20"/>
        </w:rPr>
        <w:t xml:space="preserve">ECC </w:t>
      </w:r>
      <w:proofErr w:type="spellStart"/>
      <w:r w:rsidRPr="00FB7347">
        <w:rPr>
          <w:rFonts w:ascii="Geometr706 Md TL" w:hAnsi="Geometr706 Md TL"/>
          <w:i/>
          <w:sz w:val="20"/>
          <w:szCs w:val="20"/>
        </w:rPr>
        <w:t>Latvia</w:t>
      </w:r>
      <w:proofErr w:type="spellEnd"/>
      <w:r w:rsidRPr="00FB7347">
        <w:rPr>
          <w:rFonts w:ascii="Geometr706 Md TL" w:hAnsi="Geometr706 Md TL"/>
          <w:sz w:val="20"/>
          <w:szCs w:val="20"/>
        </w:rPr>
        <w:t xml:space="preserve"> sadarbībā ar PTAC starptautiskajā lidostā „Rīga” organizēja informatīvo kampaņu „Zini un ceļo!”. Vienas dienas kampaņas ietvaros tika aptaujāti aviopasažieri un rīkotas viktorīnas, lai uzzinātu, cik patērētāji ir zinoši par aviopasažieru tiesībām. Uzvarētāji ieguva </w:t>
      </w:r>
      <w:r w:rsidRPr="00FB7347">
        <w:rPr>
          <w:rFonts w:ascii="Geometr706 Md TL" w:hAnsi="Geometr706 Md TL"/>
          <w:i/>
          <w:sz w:val="20"/>
          <w:szCs w:val="20"/>
        </w:rPr>
        <w:t>ECC</w:t>
      </w:r>
      <w:r w:rsidRPr="00FB7347">
        <w:rPr>
          <w:rFonts w:ascii="Geometr706 Md TL" w:hAnsi="Geometr706 Md TL"/>
          <w:sz w:val="20"/>
          <w:szCs w:val="20"/>
        </w:rPr>
        <w:t xml:space="preserve"> </w:t>
      </w:r>
      <w:proofErr w:type="spellStart"/>
      <w:r w:rsidRPr="00FB7347">
        <w:rPr>
          <w:rFonts w:ascii="Geometr706 Md TL" w:hAnsi="Geometr706 Md TL"/>
          <w:i/>
          <w:sz w:val="20"/>
          <w:szCs w:val="20"/>
        </w:rPr>
        <w:t>Latvia</w:t>
      </w:r>
      <w:proofErr w:type="spellEnd"/>
      <w:r w:rsidRPr="00FB7347">
        <w:rPr>
          <w:rFonts w:ascii="Geometr706 Md TL" w:hAnsi="Geometr706 Md TL"/>
          <w:sz w:val="20"/>
          <w:szCs w:val="20"/>
        </w:rPr>
        <w:t xml:space="preserve"> sagatavotās balvas. Vienlaikus viņiem tika sniegta informācija, piemēram, kā rīkoties dažādās situācijās, kad atcelts reiss vai aizkavējusies bagāža.</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 xml:space="preserve">2013. gada 5. septembrī </w:t>
      </w:r>
      <w:r w:rsidRPr="00FB7347">
        <w:rPr>
          <w:rFonts w:ascii="Geometr706 Md TL" w:hAnsi="Geometr706 Md TL"/>
          <w:i/>
          <w:sz w:val="20"/>
          <w:szCs w:val="20"/>
        </w:rPr>
        <w:t xml:space="preserve">ECC </w:t>
      </w:r>
      <w:proofErr w:type="spellStart"/>
      <w:r w:rsidRPr="00FB7347">
        <w:rPr>
          <w:rFonts w:ascii="Geometr706 Md TL" w:hAnsi="Geometr706 Md TL"/>
          <w:i/>
          <w:sz w:val="20"/>
          <w:szCs w:val="20"/>
        </w:rPr>
        <w:t>Latvia</w:t>
      </w:r>
      <w:proofErr w:type="spellEnd"/>
      <w:r w:rsidRPr="00FB7347">
        <w:rPr>
          <w:rFonts w:ascii="Geometr706 Md TL" w:hAnsi="Geometr706 Md TL"/>
          <w:sz w:val="20"/>
          <w:szCs w:val="20"/>
        </w:rPr>
        <w:t xml:space="preserve"> piedalījās EK rīkotajā sabiedrības informēšanas kampaņā par pasažieru tiesībām ES, kuras ietvaros Rīgas starptautiskajā autoostā tika veikta aptauja par pasažieru tiesībām ES un pareizo atbilžu sniedzēji balvās saņēma EK sagatavotās balvas.</w:t>
      </w:r>
    </w:p>
    <w:p w:rsidR="00256E7F" w:rsidRPr="00256E7F" w:rsidRDefault="00256E7F" w:rsidP="00256E7F">
      <w:pPr>
        <w:spacing w:line="240" w:lineRule="auto"/>
        <w:jc w:val="center"/>
        <w:rPr>
          <w:rFonts w:ascii="Geometr706 Md TL" w:hAnsi="Geometr706 Md TL"/>
        </w:rPr>
      </w:pPr>
      <w:r w:rsidRPr="00256E7F">
        <w:rPr>
          <w:rFonts w:ascii="Geometr706 Md TL" w:hAnsi="Geometr706 Md TL"/>
          <w:noProof/>
          <w:lang w:eastAsia="lv-LV"/>
        </w:rPr>
        <w:drawing>
          <wp:inline distT="0" distB="0" distL="0" distR="0" wp14:anchorId="5D58330D" wp14:editId="1BAB5C08">
            <wp:extent cx="4006600" cy="3038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876.JPG"/>
                    <pic:cNvPicPr/>
                  </pic:nvPicPr>
                  <pic:blipFill>
                    <a:blip r:embed="rId32">
                      <a:extLst>
                        <a:ext uri="{28A0092B-C50C-407E-A947-70E740481C1C}">
                          <a14:useLocalDpi xmlns:a14="http://schemas.microsoft.com/office/drawing/2010/main" val="0"/>
                        </a:ext>
                      </a:extLst>
                    </a:blip>
                    <a:stretch>
                      <a:fillRect/>
                    </a:stretch>
                  </pic:blipFill>
                  <pic:spPr>
                    <a:xfrm>
                      <a:off x="0" y="0"/>
                      <a:ext cx="4011973" cy="3042550"/>
                    </a:xfrm>
                    <a:prstGeom prst="rect">
                      <a:avLst/>
                    </a:prstGeom>
                  </pic:spPr>
                </pic:pic>
              </a:graphicData>
            </a:graphic>
          </wp:inline>
        </w:drawing>
      </w:r>
    </w:p>
    <w:p w:rsidR="00256E7F" w:rsidRPr="00256E7F" w:rsidRDefault="00256E7F" w:rsidP="00256E7F">
      <w:pPr>
        <w:spacing w:line="240" w:lineRule="auto"/>
        <w:jc w:val="center"/>
        <w:rPr>
          <w:rFonts w:ascii="Geometr706 Md TL" w:hAnsi="Geometr706 Md TL"/>
          <w:b/>
          <w:i/>
        </w:rPr>
      </w:pPr>
      <w:r w:rsidRPr="00256E7F">
        <w:rPr>
          <w:rFonts w:ascii="Geometr706 Md TL" w:hAnsi="Geometr706 Md TL"/>
          <w:b/>
          <w:i/>
        </w:rPr>
        <w:t xml:space="preserve">05.09.2013. ECC </w:t>
      </w:r>
      <w:proofErr w:type="spellStart"/>
      <w:r w:rsidRPr="00256E7F">
        <w:rPr>
          <w:rFonts w:ascii="Geometr706 Md TL" w:hAnsi="Geometr706 Md TL"/>
          <w:b/>
          <w:i/>
        </w:rPr>
        <w:t>Latvia</w:t>
      </w:r>
      <w:proofErr w:type="spellEnd"/>
      <w:r w:rsidRPr="00256E7F">
        <w:rPr>
          <w:rFonts w:ascii="Geometr706 Md TL" w:hAnsi="Geometr706 Md TL"/>
          <w:b/>
          <w:i/>
        </w:rPr>
        <w:t xml:space="preserve"> stends Rīgas starptautiskajā autoostā</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 xml:space="preserve">2013. gada 14. novembrī sadarbībā ar PTAC un EM tika organizēta darba sanāksme „Par galvenajām problēmām lietu izskatīšanā ikdienas darbā un iespējamiem risinājumiem </w:t>
      </w:r>
      <w:r w:rsidRPr="00FB7347">
        <w:rPr>
          <w:rFonts w:ascii="Geometr706 Md TL" w:hAnsi="Geometr706 Md TL"/>
          <w:i/>
          <w:sz w:val="20"/>
          <w:szCs w:val="20"/>
        </w:rPr>
        <w:t>ADR</w:t>
      </w:r>
      <w:r w:rsidRPr="00FB7347">
        <w:rPr>
          <w:rFonts w:ascii="Geometr706 Md TL" w:hAnsi="Geometr706 Md TL"/>
          <w:sz w:val="20"/>
          <w:szCs w:val="20"/>
        </w:rPr>
        <w:t xml:space="preserve">, </w:t>
      </w:r>
      <w:r w:rsidRPr="00FB7347">
        <w:rPr>
          <w:rFonts w:ascii="Geometr706 Md TL" w:hAnsi="Geometr706 Md TL"/>
          <w:i/>
          <w:sz w:val="20"/>
          <w:szCs w:val="20"/>
        </w:rPr>
        <w:t>NEB</w:t>
      </w:r>
      <w:r w:rsidRPr="00FB7347">
        <w:rPr>
          <w:rFonts w:ascii="Geometr706 Md TL" w:hAnsi="Geometr706 Md TL"/>
          <w:sz w:val="20"/>
          <w:szCs w:val="20"/>
        </w:rPr>
        <w:t xml:space="preserve"> un </w:t>
      </w:r>
      <w:r w:rsidRPr="00FB7347">
        <w:rPr>
          <w:rFonts w:ascii="Geometr706 Md TL" w:hAnsi="Geometr706 Md TL"/>
          <w:i/>
          <w:sz w:val="20"/>
          <w:szCs w:val="20"/>
        </w:rPr>
        <w:t>CPC</w:t>
      </w:r>
      <w:r w:rsidRPr="00FB7347">
        <w:rPr>
          <w:rFonts w:ascii="Geometr706 Md TL" w:hAnsi="Geometr706 Md TL"/>
          <w:sz w:val="20"/>
          <w:szCs w:val="20"/>
        </w:rPr>
        <w:t>, kā arī par jaunākajām izmaiņām normatīvajos aktos Latvijā un ES”. Sanāksmes gaitā tika sniegtas prezentācijas un notika debates par aktuālākajām problēmām un iespējamajiem turpmākajiem uzlabojumiem patērētāju sūdzību izskatīšanas jomā Latvijā un ES.</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 xml:space="preserve">2013. gada nogalē </w:t>
      </w:r>
      <w:r w:rsidRPr="00FB7347">
        <w:rPr>
          <w:rFonts w:ascii="Geometr706 Md TL" w:hAnsi="Geometr706 Md TL"/>
          <w:i/>
          <w:sz w:val="20"/>
          <w:szCs w:val="20"/>
        </w:rPr>
        <w:t xml:space="preserve">ECC </w:t>
      </w:r>
      <w:proofErr w:type="spellStart"/>
      <w:r w:rsidRPr="00FB7347">
        <w:rPr>
          <w:rFonts w:ascii="Geometr706 Md TL" w:hAnsi="Geometr706 Md TL"/>
          <w:i/>
          <w:sz w:val="20"/>
          <w:szCs w:val="20"/>
        </w:rPr>
        <w:t>Latvia</w:t>
      </w:r>
      <w:proofErr w:type="spellEnd"/>
      <w:r w:rsidRPr="00FB7347">
        <w:rPr>
          <w:rFonts w:ascii="Geometr706 Md TL" w:hAnsi="Geometr706 Md TL"/>
          <w:i/>
          <w:sz w:val="20"/>
          <w:szCs w:val="20"/>
        </w:rPr>
        <w:t xml:space="preserve"> </w:t>
      </w:r>
      <w:r w:rsidRPr="00FB7347">
        <w:rPr>
          <w:rFonts w:ascii="Geometr706 Md TL" w:hAnsi="Geometr706 Md TL"/>
          <w:sz w:val="20"/>
          <w:szCs w:val="20"/>
        </w:rPr>
        <w:t xml:space="preserve">sadarbībā ar PTAC izstrādājis informatīvi izglītojošo tiešsaistes spēli „Prātīgais patērētājs”. 2013. gada 17. decembrī tika organizēts tiešsaistes izglītojošās spēles „Prātīgais patērētājs” par patērētāju tiesībām ES publicitātes pasākums. Izglītojošā spēle „Prātīgais patērētājs” ir pieejama interneta vietnē: </w:t>
      </w:r>
      <w:hyperlink r:id="rId33" w:history="1">
        <w:r w:rsidRPr="00FB7347">
          <w:rPr>
            <w:rStyle w:val="Hyperlink"/>
            <w:rFonts w:ascii="Geometr706 Md TL" w:hAnsi="Geometr706 Md TL"/>
            <w:i/>
            <w:sz w:val="20"/>
            <w:szCs w:val="20"/>
          </w:rPr>
          <w:t>http://pratigais-pateretājs.percgudri.lv/game/start</w:t>
        </w:r>
      </w:hyperlink>
      <w:r w:rsidRPr="00FB7347">
        <w:rPr>
          <w:rFonts w:ascii="Geometr706 Md TL" w:hAnsi="Geometr706 Md TL"/>
          <w:sz w:val="20"/>
          <w:szCs w:val="20"/>
        </w:rPr>
        <w:t>.</w:t>
      </w:r>
    </w:p>
    <w:p w:rsidR="00256E7F" w:rsidRPr="00256E7F" w:rsidRDefault="00256E7F" w:rsidP="00256E7F">
      <w:pPr>
        <w:spacing w:line="240" w:lineRule="auto"/>
        <w:ind w:firstLine="709"/>
        <w:rPr>
          <w:rFonts w:ascii="Geometr706 Md TL" w:hAnsi="Geometr706 Md TL"/>
        </w:rPr>
      </w:pPr>
    </w:p>
    <w:p w:rsidR="00256E7F" w:rsidRPr="00256E7F" w:rsidRDefault="00256E7F" w:rsidP="00256E7F">
      <w:pPr>
        <w:spacing w:line="240" w:lineRule="auto"/>
        <w:jc w:val="center"/>
        <w:rPr>
          <w:rFonts w:ascii="Geometr706 Md TL" w:hAnsi="Geometr706 Md TL"/>
        </w:rPr>
      </w:pPr>
      <w:r w:rsidRPr="00256E7F">
        <w:rPr>
          <w:rFonts w:ascii="Geometr706 Md TL" w:hAnsi="Geometr706 Md TL"/>
          <w:noProof/>
          <w:lang w:eastAsia="lv-LV"/>
        </w:rPr>
        <w:lastRenderedPageBreak/>
        <w:drawing>
          <wp:inline distT="0" distB="0" distL="0" distR="0" wp14:anchorId="17F65E60" wp14:editId="618F3694">
            <wp:extent cx="3305872" cy="2846231"/>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3313271" cy="2852601"/>
                    </a:xfrm>
                    <a:prstGeom prst="rect">
                      <a:avLst/>
                    </a:prstGeom>
                    <a:ln>
                      <a:noFill/>
                    </a:ln>
                    <a:extLst>
                      <a:ext uri="{53640926-AAD7-44D8-BBD7-CCE9431645EC}">
                        <a14:shadowObscured xmlns:a14="http://schemas.microsoft.com/office/drawing/2010/main"/>
                      </a:ext>
                    </a:extLst>
                  </pic:spPr>
                </pic:pic>
              </a:graphicData>
            </a:graphic>
          </wp:inline>
        </w:drawing>
      </w:r>
    </w:p>
    <w:p w:rsidR="00256E7F" w:rsidRPr="00256E7F" w:rsidRDefault="00256E7F" w:rsidP="00256E7F">
      <w:pPr>
        <w:spacing w:line="240" w:lineRule="auto"/>
        <w:jc w:val="center"/>
        <w:rPr>
          <w:rFonts w:ascii="Geometr706 Md TL" w:hAnsi="Geometr706 Md TL"/>
          <w:b/>
          <w:i/>
        </w:rPr>
      </w:pPr>
      <w:r w:rsidRPr="00256E7F">
        <w:rPr>
          <w:rFonts w:ascii="Geometr706 Md TL" w:hAnsi="Geometr706 Md TL"/>
          <w:b/>
          <w:i/>
        </w:rPr>
        <w:t xml:space="preserve">ECC </w:t>
      </w:r>
      <w:proofErr w:type="spellStart"/>
      <w:r w:rsidRPr="00256E7F">
        <w:rPr>
          <w:rFonts w:ascii="Geometr706 Md TL" w:hAnsi="Geometr706 Md TL"/>
          <w:b/>
          <w:i/>
        </w:rPr>
        <w:t>Latvia</w:t>
      </w:r>
      <w:proofErr w:type="spellEnd"/>
      <w:r w:rsidRPr="00256E7F">
        <w:rPr>
          <w:rFonts w:ascii="Geometr706 Md TL" w:hAnsi="Geometr706 Md TL"/>
          <w:b/>
          <w:i/>
        </w:rPr>
        <w:t xml:space="preserve"> tiešsaistes spēles „Prātīgais patērētājs” ekrānuzņēmums</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 xml:space="preserve">2013. gadā </w:t>
      </w:r>
      <w:r w:rsidRPr="00FB7347">
        <w:rPr>
          <w:rFonts w:ascii="Geometr706 Md TL" w:hAnsi="Geometr706 Md TL"/>
          <w:i/>
          <w:sz w:val="20"/>
          <w:szCs w:val="20"/>
        </w:rPr>
        <w:t xml:space="preserve">ECC </w:t>
      </w:r>
      <w:proofErr w:type="spellStart"/>
      <w:r w:rsidRPr="00FB7347">
        <w:rPr>
          <w:rFonts w:ascii="Geometr706 Md TL" w:hAnsi="Geometr706 Md TL"/>
          <w:i/>
          <w:sz w:val="20"/>
          <w:szCs w:val="20"/>
        </w:rPr>
        <w:t>Latvia</w:t>
      </w:r>
      <w:proofErr w:type="spellEnd"/>
      <w:r w:rsidRPr="00FB7347">
        <w:rPr>
          <w:rFonts w:ascii="Geometr706 Md TL" w:hAnsi="Geometr706 Md TL"/>
          <w:sz w:val="20"/>
          <w:szCs w:val="20"/>
        </w:rPr>
        <w:t xml:space="preserve"> piedalījās </w:t>
      </w:r>
      <w:r w:rsidRPr="00FB7347">
        <w:rPr>
          <w:rFonts w:ascii="Geometr706 Md TL" w:hAnsi="Geometr706 Md TL"/>
          <w:i/>
          <w:sz w:val="20"/>
          <w:szCs w:val="20"/>
        </w:rPr>
        <w:t>ECC-</w:t>
      </w:r>
      <w:proofErr w:type="spellStart"/>
      <w:r w:rsidRPr="00FB7347">
        <w:rPr>
          <w:rFonts w:ascii="Geometr706 Md TL" w:hAnsi="Geometr706 Md TL"/>
          <w:i/>
          <w:sz w:val="20"/>
          <w:szCs w:val="20"/>
        </w:rPr>
        <w:t>Net</w:t>
      </w:r>
      <w:proofErr w:type="spellEnd"/>
      <w:r w:rsidRPr="00FB7347">
        <w:rPr>
          <w:rFonts w:ascii="Geometr706 Md TL" w:hAnsi="Geometr706 Md TL"/>
          <w:sz w:val="20"/>
          <w:szCs w:val="20"/>
        </w:rPr>
        <w:t xml:space="preserve"> kopīgajos projektos „Par pakalpojumu direktīvu” un „Krāpniecība internetā”, sniedzot informāciju un situācijas raksturojumu Latvijas mērogā.</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 xml:space="preserve">Savas darbības ietvaros </w:t>
      </w:r>
      <w:r w:rsidRPr="00FB7347">
        <w:rPr>
          <w:rFonts w:ascii="Geometr706 Md TL" w:hAnsi="Geometr706 Md TL"/>
          <w:i/>
          <w:sz w:val="20"/>
          <w:szCs w:val="20"/>
        </w:rPr>
        <w:t xml:space="preserve">ECC </w:t>
      </w:r>
      <w:proofErr w:type="spellStart"/>
      <w:r w:rsidRPr="00FB7347">
        <w:rPr>
          <w:rFonts w:ascii="Geometr706 Md TL" w:hAnsi="Geometr706 Md TL"/>
          <w:i/>
          <w:sz w:val="20"/>
          <w:szCs w:val="20"/>
        </w:rPr>
        <w:t>Latvia</w:t>
      </w:r>
      <w:proofErr w:type="spellEnd"/>
      <w:r w:rsidRPr="00FB7347">
        <w:rPr>
          <w:rFonts w:ascii="Geometr706 Md TL" w:hAnsi="Geometr706 Md TL"/>
          <w:sz w:val="20"/>
          <w:szCs w:val="20"/>
        </w:rPr>
        <w:t xml:space="preserve"> regulāri ievieto aktuālāko informāciju par patērētāju tiesībām ES sociālajos tīklos </w:t>
      </w:r>
      <w:hyperlink r:id="rId35" w:history="1">
        <w:r w:rsidRPr="00FB7347">
          <w:rPr>
            <w:rStyle w:val="Hyperlink"/>
            <w:rFonts w:ascii="Geometr706 Md TL" w:hAnsi="Geometr706 Md TL"/>
            <w:i/>
            <w:sz w:val="20"/>
            <w:szCs w:val="20"/>
          </w:rPr>
          <w:t>www.twitter.com</w:t>
        </w:r>
      </w:hyperlink>
      <w:r w:rsidRPr="00FB7347">
        <w:rPr>
          <w:rFonts w:ascii="Geometr706 Md TL" w:hAnsi="Geometr706 Md TL"/>
          <w:sz w:val="20"/>
          <w:szCs w:val="20"/>
        </w:rPr>
        <w:t xml:space="preserve">, </w:t>
      </w:r>
      <w:r w:rsidRPr="00FB7347">
        <w:rPr>
          <w:rFonts w:ascii="Geometr706 Md TL" w:hAnsi="Geometr706 Md TL"/>
          <w:i/>
          <w:sz w:val="20"/>
          <w:szCs w:val="20"/>
        </w:rPr>
        <w:t>www.facebook.com</w:t>
      </w:r>
      <w:r w:rsidRPr="00FB7347">
        <w:rPr>
          <w:rFonts w:ascii="Geometr706 Md TL" w:hAnsi="Geometr706 Md TL"/>
          <w:sz w:val="20"/>
          <w:szCs w:val="20"/>
        </w:rPr>
        <w:t xml:space="preserve"> un </w:t>
      </w:r>
      <w:r w:rsidRPr="00FB7347">
        <w:rPr>
          <w:rFonts w:ascii="Geometr706 Md TL" w:hAnsi="Geometr706 Md TL"/>
          <w:i/>
          <w:sz w:val="20"/>
          <w:szCs w:val="20"/>
        </w:rPr>
        <w:t>ECC</w:t>
      </w:r>
      <w:r w:rsidRPr="00FB7347">
        <w:rPr>
          <w:rFonts w:ascii="Geometr706 Md TL" w:hAnsi="Geometr706 Md TL"/>
          <w:sz w:val="20"/>
          <w:szCs w:val="20"/>
        </w:rPr>
        <w:t xml:space="preserve"> </w:t>
      </w:r>
      <w:proofErr w:type="spellStart"/>
      <w:r w:rsidRPr="00FB7347">
        <w:rPr>
          <w:rFonts w:ascii="Geometr706 Md TL" w:hAnsi="Geometr706 Md TL"/>
          <w:i/>
          <w:sz w:val="20"/>
          <w:szCs w:val="20"/>
        </w:rPr>
        <w:t>Latvia</w:t>
      </w:r>
      <w:proofErr w:type="spellEnd"/>
      <w:r w:rsidRPr="00FB7347">
        <w:rPr>
          <w:rFonts w:ascii="Geometr706 Md TL" w:hAnsi="Geometr706 Md TL"/>
          <w:sz w:val="20"/>
          <w:szCs w:val="20"/>
        </w:rPr>
        <w:t xml:space="preserve"> </w:t>
      </w:r>
      <w:proofErr w:type="spellStart"/>
      <w:r w:rsidRPr="00FB7347">
        <w:rPr>
          <w:rFonts w:ascii="Geometr706 Md TL" w:hAnsi="Geometr706 Md TL"/>
          <w:sz w:val="20"/>
          <w:szCs w:val="20"/>
        </w:rPr>
        <w:t>mājaslapā</w:t>
      </w:r>
      <w:proofErr w:type="spellEnd"/>
      <w:r w:rsidRPr="00FB7347">
        <w:rPr>
          <w:rFonts w:ascii="Geometr706 Md TL" w:hAnsi="Geometr706 Md TL"/>
          <w:sz w:val="20"/>
          <w:szCs w:val="20"/>
        </w:rPr>
        <w:t>.</w:t>
      </w:r>
    </w:p>
    <w:p w:rsidR="00256E7F" w:rsidRPr="00256E7F" w:rsidRDefault="00256E7F" w:rsidP="00256E7F">
      <w:pPr>
        <w:pStyle w:val="Heading3"/>
        <w:spacing w:before="0" w:line="240" w:lineRule="auto"/>
        <w:jc w:val="center"/>
        <w:rPr>
          <w:rFonts w:ascii="Geometr706 Md TL" w:hAnsi="Geometr706 Md TL"/>
        </w:rPr>
      </w:pPr>
      <w:bookmarkStart w:id="78" w:name="_2.3.11._Starptautisko_projektu"/>
      <w:bookmarkStart w:id="79" w:name="_Toc380143884"/>
      <w:bookmarkStart w:id="80" w:name="_Toc380147124"/>
      <w:bookmarkEnd w:id="78"/>
    </w:p>
    <w:p w:rsidR="00256E7F" w:rsidRPr="00256E7F" w:rsidRDefault="00256E7F" w:rsidP="00FB7347">
      <w:pPr>
        <w:pStyle w:val="Heading3"/>
        <w:spacing w:before="0" w:after="240" w:line="240" w:lineRule="auto"/>
        <w:jc w:val="center"/>
        <w:rPr>
          <w:rFonts w:ascii="Geometr706 Md TL" w:hAnsi="Geometr706 Md TL"/>
        </w:rPr>
      </w:pPr>
      <w:bookmarkStart w:id="81" w:name="_Toc392836110"/>
      <w:r w:rsidRPr="00256E7F">
        <w:rPr>
          <w:rFonts w:ascii="Geometr706 Md TL" w:hAnsi="Geometr706 Md TL"/>
        </w:rPr>
        <w:t>2.3.11. Starptautisko projektu rezultāti</w:t>
      </w:r>
      <w:bookmarkEnd w:id="79"/>
      <w:bookmarkEnd w:id="80"/>
      <w:bookmarkEnd w:id="81"/>
    </w:p>
    <w:p w:rsidR="00256E7F" w:rsidRPr="00FB7347" w:rsidRDefault="00FB7347" w:rsidP="00FB7347">
      <w:pPr>
        <w:spacing w:line="240" w:lineRule="auto"/>
        <w:jc w:val="both"/>
        <w:rPr>
          <w:rFonts w:ascii="Geometr706 Md TL" w:hAnsi="Geometr706 Md TL"/>
          <w:b/>
          <w:i/>
          <w:sz w:val="20"/>
          <w:szCs w:val="20"/>
          <w:u w:val="single"/>
        </w:rPr>
      </w:pPr>
      <w:r w:rsidRPr="00FB7347">
        <w:rPr>
          <w:rFonts w:ascii="Geometr706 Md TL" w:hAnsi="Geometr706 Md TL"/>
          <w:b/>
          <w:i/>
          <w:sz w:val="20"/>
          <w:szCs w:val="20"/>
          <w:u w:val="single"/>
        </w:rPr>
        <w:t>PROSAFE</w:t>
      </w:r>
    </w:p>
    <w:p w:rsidR="00256E7F" w:rsidRPr="00FB7347" w:rsidRDefault="00256E7F" w:rsidP="00FB7347">
      <w:pPr>
        <w:spacing w:line="240" w:lineRule="auto"/>
        <w:jc w:val="both"/>
        <w:rPr>
          <w:rFonts w:ascii="Geometr706 Md TL" w:hAnsi="Geometr706 Md TL"/>
          <w:sz w:val="20"/>
          <w:szCs w:val="20"/>
        </w:rPr>
      </w:pPr>
      <w:r w:rsidRPr="00FB7347">
        <w:rPr>
          <w:rFonts w:ascii="Geometr706 Md TL" w:hAnsi="Geometr706 Md TL"/>
          <w:bCs/>
          <w:sz w:val="20"/>
          <w:szCs w:val="20"/>
        </w:rPr>
        <w:t>a) </w:t>
      </w:r>
      <w:r w:rsidRPr="00FB7347">
        <w:rPr>
          <w:rFonts w:ascii="Geometr706 Md TL" w:hAnsi="Geometr706 Md TL"/>
          <w:sz w:val="20"/>
          <w:szCs w:val="20"/>
        </w:rPr>
        <w:t xml:space="preserve">Pārskata periodā saskaņā ar PTAC dalību Eiropas </w:t>
      </w:r>
      <w:proofErr w:type="spellStart"/>
      <w:r w:rsidRPr="00FB7347">
        <w:rPr>
          <w:rFonts w:ascii="Geometr706 Md TL" w:hAnsi="Geometr706 Md TL"/>
          <w:sz w:val="20"/>
          <w:szCs w:val="20"/>
        </w:rPr>
        <w:t>kopprojektā</w:t>
      </w:r>
      <w:proofErr w:type="spellEnd"/>
      <w:r w:rsidRPr="00FB7347">
        <w:rPr>
          <w:rFonts w:ascii="Geometr706 Md TL" w:hAnsi="Geometr706 Md TL"/>
          <w:sz w:val="20"/>
          <w:szCs w:val="20"/>
        </w:rPr>
        <w:t xml:space="preserve"> „2011 </w:t>
      </w:r>
      <w:proofErr w:type="spellStart"/>
      <w:r w:rsidRPr="00FB7347">
        <w:rPr>
          <w:rFonts w:ascii="Geometr706 Md TL" w:hAnsi="Geometr706 Md TL"/>
          <w:sz w:val="20"/>
          <w:szCs w:val="20"/>
        </w:rPr>
        <w:t>Joint</w:t>
      </w:r>
      <w:proofErr w:type="spellEnd"/>
      <w:r w:rsidRPr="00FB7347">
        <w:rPr>
          <w:rFonts w:ascii="Geometr706 Md TL" w:hAnsi="Geometr706 Md TL"/>
          <w:sz w:val="20"/>
          <w:szCs w:val="20"/>
        </w:rPr>
        <w:t xml:space="preserve"> </w:t>
      </w:r>
      <w:proofErr w:type="spellStart"/>
      <w:r w:rsidRPr="00FB7347">
        <w:rPr>
          <w:rFonts w:ascii="Geometr706 Md TL" w:hAnsi="Geometr706 Md TL"/>
          <w:sz w:val="20"/>
          <w:szCs w:val="20"/>
        </w:rPr>
        <w:t>Market</w:t>
      </w:r>
      <w:proofErr w:type="spellEnd"/>
      <w:r w:rsidRPr="00FB7347">
        <w:rPr>
          <w:rFonts w:ascii="Geometr706 Md TL" w:hAnsi="Geometr706 Md TL"/>
          <w:sz w:val="20"/>
          <w:szCs w:val="20"/>
        </w:rPr>
        <w:t xml:space="preserve"> </w:t>
      </w:r>
      <w:proofErr w:type="spellStart"/>
      <w:r w:rsidRPr="00FB7347">
        <w:rPr>
          <w:rFonts w:ascii="Geometr706 Md TL" w:hAnsi="Geometr706 Md TL"/>
          <w:sz w:val="20"/>
          <w:szCs w:val="20"/>
        </w:rPr>
        <w:t>Surveillance</w:t>
      </w:r>
      <w:proofErr w:type="spellEnd"/>
      <w:r w:rsidRPr="00FB7347">
        <w:rPr>
          <w:rFonts w:ascii="Geometr706 Md TL" w:hAnsi="Geometr706 Md TL"/>
          <w:sz w:val="20"/>
          <w:szCs w:val="20"/>
        </w:rPr>
        <w:t xml:space="preserve"> </w:t>
      </w:r>
      <w:proofErr w:type="spellStart"/>
      <w:r w:rsidRPr="00FB7347">
        <w:rPr>
          <w:rFonts w:ascii="Geometr706 Md TL" w:hAnsi="Geometr706 Md TL"/>
          <w:sz w:val="20"/>
          <w:szCs w:val="20"/>
        </w:rPr>
        <w:t>Action</w:t>
      </w:r>
      <w:proofErr w:type="spellEnd"/>
      <w:r w:rsidRPr="00FB7347">
        <w:rPr>
          <w:rFonts w:ascii="Geometr706 Md TL" w:hAnsi="Geometr706 Md TL"/>
          <w:sz w:val="20"/>
          <w:szCs w:val="20"/>
        </w:rPr>
        <w:t xml:space="preserve"> </w:t>
      </w:r>
      <w:proofErr w:type="spellStart"/>
      <w:r w:rsidRPr="00FB7347">
        <w:rPr>
          <w:rFonts w:ascii="Geometr706 Md TL" w:hAnsi="Geometr706 Md TL"/>
          <w:sz w:val="20"/>
          <w:szCs w:val="20"/>
        </w:rPr>
        <w:t>on</w:t>
      </w:r>
      <w:proofErr w:type="spellEnd"/>
      <w:r w:rsidRPr="00FB7347">
        <w:rPr>
          <w:rFonts w:ascii="Geometr706 Md TL" w:hAnsi="Geometr706 Md TL"/>
          <w:sz w:val="20"/>
          <w:szCs w:val="20"/>
        </w:rPr>
        <w:t xml:space="preserve"> GPSD </w:t>
      </w:r>
      <w:proofErr w:type="spellStart"/>
      <w:r w:rsidRPr="00FB7347">
        <w:rPr>
          <w:rFonts w:ascii="Geometr706 Md TL" w:hAnsi="Geometr706 Md TL"/>
          <w:sz w:val="20"/>
          <w:szCs w:val="20"/>
        </w:rPr>
        <w:t>Products</w:t>
      </w:r>
      <w:proofErr w:type="spellEnd"/>
      <w:r w:rsidRPr="00FB7347">
        <w:rPr>
          <w:rFonts w:ascii="Geometr706 Md TL" w:hAnsi="Geometr706 Md TL"/>
          <w:sz w:val="20"/>
          <w:szCs w:val="20"/>
        </w:rPr>
        <w:t xml:space="preserve"> </w:t>
      </w:r>
      <w:proofErr w:type="spellStart"/>
      <w:r w:rsidRPr="00FB7347">
        <w:rPr>
          <w:rFonts w:ascii="Geometr706 Md TL" w:hAnsi="Geometr706 Md TL"/>
          <w:sz w:val="20"/>
          <w:szCs w:val="20"/>
        </w:rPr>
        <w:t>Activity</w:t>
      </w:r>
      <w:proofErr w:type="spellEnd"/>
      <w:r w:rsidRPr="00FB7347">
        <w:rPr>
          <w:rFonts w:ascii="Geometr706 Md TL" w:hAnsi="Geometr706 Md TL"/>
          <w:sz w:val="20"/>
          <w:szCs w:val="20"/>
        </w:rPr>
        <w:t xml:space="preserve"> – </w:t>
      </w:r>
      <w:proofErr w:type="spellStart"/>
      <w:r w:rsidRPr="00FB7347">
        <w:rPr>
          <w:rFonts w:ascii="Geometr706 Md TL" w:hAnsi="Geometr706 Md TL"/>
          <w:sz w:val="20"/>
          <w:szCs w:val="20"/>
        </w:rPr>
        <w:t>Lawnmowers</w:t>
      </w:r>
      <w:proofErr w:type="spellEnd"/>
      <w:r w:rsidRPr="00FB7347">
        <w:rPr>
          <w:rFonts w:ascii="Geometr706 Md TL" w:hAnsi="Geometr706 Md TL"/>
          <w:sz w:val="20"/>
          <w:szCs w:val="20"/>
        </w:rPr>
        <w:t>” par zāles pļāvēju paraugu izņemšanu ekspertīžu veikšanai, tika izņemti 3 zāles pļāvēju modeļi:</w:t>
      </w:r>
    </w:p>
    <w:p w:rsidR="00256E7F" w:rsidRPr="00FB7347" w:rsidRDefault="00256E7F" w:rsidP="00FB7347">
      <w:pPr>
        <w:spacing w:line="240" w:lineRule="auto"/>
        <w:jc w:val="both"/>
        <w:rPr>
          <w:rFonts w:ascii="Geometr706 Md TL" w:hAnsi="Geometr706 Md TL"/>
          <w:sz w:val="20"/>
          <w:szCs w:val="20"/>
        </w:rPr>
      </w:pPr>
      <w:r w:rsidRPr="00FB7347">
        <w:rPr>
          <w:rFonts w:ascii="Geometr706 Md TL" w:hAnsi="Geometr706 Md TL"/>
          <w:sz w:val="20"/>
          <w:szCs w:val="20"/>
        </w:rPr>
        <w:t xml:space="preserve">1) elektriskais zāles pļāvējs </w:t>
      </w:r>
      <w:r w:rsidRPr="00FB7347">
        <w:rPr>
          <w:rFonts w:ascii="Geometr706 Md TL" w:hAnsi="Geometr706 Md TL"/>
          <w:i/>
          <w:sz w:val="20"/>
          <w:szCs w:val="20"/>
        </w:rPr>
        <w:t>MTD</w:t>
      </w:r>
      <w:r w:rsidRPr="00FB7347">
        <w:rPr>
          <w:rFonts w:ascii="Geometr706 Md TL" w:hAnsi="Geometr706 Md TL"/>
          <w:sz w:val="20"/>
          <w:szCs w:val="20"/>
        </w:rPr>
        <w:t>;</w:t>
      </w:r>
    </w:p>
    <w:p w:rsidR="00256E7F" w:rsidRPr="00FB7347" w:rsidRDefault="00256E7F" w:rsidP="00FB7347">
      <w:pPr>
        <w:spacing w:line="240" w:lineRule="auto"/>
        <w:jc w:val="both"/>
        <w:rPr>
          <w:rFonts w:ascii="Geometr706 Md TL" w:hAnsi="Geometr706 Md TL"/>
          <w:sz w:val="20"/>
          <w:szCs w:val="20"/>
        </w:rPr>
      </w:pPr>
      <w:r w:rsidRPr="00FB7347">
        <w:rPr>
          <w:rFonts w:ascii="Geometr706 Md TL" w:hAnsi="Geometr706 Md TL"/>
          <w:sz w:val="20"/>
          <w:szCs w:val="20"/>
        </w:rPr>
        <w:t>2) benzīna (ar iekšdedzes dzinēju) zāles pļāvējs „</w:t>
      </w:r>
      <w:proofErr w:type="spellStart"/>
      <w:r w:rsidRPr="00FB7347">
        <w:rPr>
          <w:rFonts w:ascii="Geometr706 Md TL" w:hAnsi="Geometr706 Md TL"/>
          <w:sz w:val="20"/>
          <w:szCs w:val="20"/>
        </w:rPr>
        <w:t>Gudrord</w:t>
      </w:r>
      <w:proofErr w:type="spellEnd"/>
      <w:r w:rsidRPr="00FB7347">
        <w:rPr>
          <w:rFonts w:ascii="Geometr706 Md TL" w:hAnsi="Geometr706 Md TL"/>
          <w:sz w:val="20"/>
          <w:szCs w:val="20"/>
        </w:rPr>
        <w:t>”;</w:t>
      </w:r>
    </w:p>
    <w:p w:rsidR="00256E7F" w:rsidRPr="00FB7347" w:rsidRDefault="00256E7F" w:rsidP="00FB7347">
      <w:pPr>
        <w:spacing w:line="240" w:lineRule="auto"/>
        <w:jc w:val="both"/>
        <w:rPr>
          <w:rFonts w:ascii="Geometr706 Md TL" w:hAnsi="Geometr706 Md TL"/>
          <w:sz w:val="20"/>
          <w:szCs w:val="20"/>
        </w:rPr>
      </w:pPr>
      <w:r w:rsidRPr="00FB7347">
        <w:rPr>
          <w:rFonts w:ascii="Geometr706 Md TL" w:hAnsi="Geometr706 Md TL"/>
          <w:sz w:val="20"/>
          <w:szCs w:val="20"/>
        </w:rPr>
        <w:t>3) elektriskais zāles pļāvējs „</w:t>
      </w:r>
      <w:proofErr w:type="spellStart"/>
      <w:r w:rsidRPr="00FB7347">
        <w:rPr>
          <w:rFonts w:ascii="Geometr706 Md TL" w:hAnsi="Geometr706 Md TL"/>
          <w:sz w:val="20"/>
          <w:szCs w:val="20"/>
        </w:rPr>
        <w:t>Collector</w:t>
      </w:r>
      <w:proofErr w:type="spellEnd"/>
      <w:r w:rsidRPr="00FB7347">
        <w:rPr>
          <w:rFonts w:ascii="Geometr706 Md TL" w:hAnsi="Geometr706 Md TL"/>
          <w:sz w:val="20"/>
          <w:szCs w:val="20"/>
        </w:rPr>
        <w:t xml:space="preserve"> 35EL STIGA”.</w:t>
      </w:r>
    </w:p>
    <w:p w:rsidR="00256E7F" w:rsidRPr="00FB7347" w:rsidRDefault="00256E7F" w:rsidP="00FB7347">
      <w:pPr>
        <w:spacing w:line="240" w:lineRule="auto"/>
        <w:jc w:val="both"/>
        <w:rPr>
          <w:rFonts w:ascii="Geometr706 Md TL" w:hAnsi="Geometr706 Md TL"/>
          <w:sz w:val="20"/>
          <w:szCs w:val="20"/>
        </w:rPr>
      </w:pPr>
      <w:r w:rsidRPr="00FB7347">
        <w:rPr>
          <w:rFonts w:ascii="Geometr706 Md TL" w:hAnsi="Geometr706 Md TL"/>
          <w:sz w:val="20"/>
          <w:szCs w:val="20"/>
        </w:rPr>
        <w:t xml:space="preserve">2 katra modeļa paraugi tika nosūtīti uz ekspertīzi </w:t>
      </w:r>
      <w:r w:rsidRPr="00FB7347">
        <w:rPr>
          <w:rFonts w:ascii="Geometr706 Md TL" w:hAnsi="Geometr706 Md TL"/>
          <w:i/>
          <w:sz w:val="20"/>
          <w:szCs w:val="20"/>
        </w:rPr>
        <w:t>SIQ LJUBLJANA</w:t>
      </w:r>
      <w:r w:rsidRPr="00FB7347">
        <w:rPr>
          <w:rFonts w:ascii="Geometr706 Md TL" w:hAnsi="Geometr706 Md TL"/>
          <w:sz w:val="20"/>
          <w:szCs w:val="20"/>
        </w:rPr>
        <w:t xml:space="preserve"> laboratorijā Slovēnijā. Ekspertīžu rezultātā tika konstatēts, ka zāles pļāvēja „</w:t>
      </w:r>
      <w:proofErr w:type="spellStart"/>
      <w:r w:rsidRPr="00FB7347">
        <w:rPr>
          <w:rFonts w:ascii="Geometr706 Md TL" w:hAnsi="Geometr706 Md TL"/>
          <w:sz w:val="20"/>
          <w:szCs w:val="20"/>
        </w:rPr>
        <w:t>Collector</w:t>
      </w:r>
      <w:proofErr w:type="spellEnd"/>
      <w:r w:rsidRPr="00FB7347">
        <w:rPr>
          <w:rFonts w:ascii="Geometr706 Md TL" w:hAnsi="Geometr706 Md TL"/>
          <w:sz w:val="20"/>
          <w:szCs w:val="20"/>
        </w:rPr>
        <w:t xml:space="preserve"> 35EL STIGA” paraugs neatbilst normatīvajos aktos noteiktajām būtiskajām prasībām, proti, attālums starp korpusu un asmeņiem neatbilst piemērojamajā standartā noteiktajām prasībām. Projekts noslēgsies 2014. gadā.</w:t>
      </w:r>
    </w:p>
    <w:p w:rsidR="00256E7F" w:rsidRPr="00FB7347" w:rsidRDefault="00256E7F" w:rsidP="00FB7347">
      <w:pPr>
        <w:spacing w:line="240" w:lineRule="auto"/>
        <w:jc w:val="both"/>
        <w:rPr>
          <w:rFonts w:ascii="Geometr706 Md TL" w:hAnsi="Geometr706 Md TL"/>
          <w:sz w:val="20"/>
          <w:szCs w:val="20"/>
        </w:rPr>
      </w:pPr>
      <w:r w:rsidRPr="00FB7347">
        <w:rPr>
          <w:rFonts w:ascii="Geometr706 Md TL" w:hAnsi="Geometr706 Md TL"/>
          <w:bCs/>
          <w:sz w:val="20"/>
          <w:szCs w:val="20"/>
        </w:rPr>
        <w:t>b) </w:t>
      </w:r>
      <w:r w:rsidRPr="00FB7347">
        <w:rPr>
          <w:rFonts w:ascii="Geometr706 Md TL" w:hAnsi="Geometr706 Md TL"/>
          <w:bCs/>
          <w:i/>
          <w:sz w:val="20"/>
          <w:szCs w:val="20"/>
        </w:rPr>
        <w:t>PROSAFE</w:t>
      </w:r>
      <w:r w:rsidRPr="00FB7347">
        <w:rPr>
          <w:rFonts w:ascii="Geometr706 Md TL" w:hAnsi="Geometr706 Md TL"/>
          <w:bCs/>
          <w:sz w:val="20"/>
          <w:szCs w:val="20"/>
        </w:rPr>
        <w:t xml:space="preserve"> </w:t>
      </w:r>
      <w:proofErr w:type="spellStart"/>
      <w:r w:rsidRPr="00FB7347">
        <w:rPr>
          <w:rFonts w:ascii="Geometr706 Md TL" w:hAnsi="Geometr706 Md TL"/>
          <w:bCs/>
          <w:sz w:val="20"/>
          <w:szCs w:val="20"/>
        </w:rPr>
        <w:t>kopprojekta</w:t>
      </w:r>
      <w:proofErr w:type="spellEnd"/>
      <w:r w:rsidRPr="00FB7347">
        <w:rPr>
          <w:rFonts w:ascii="Geometr706 Md TL" w:hAnsi="Geometr706 Md TL"/>
          <w:bCs/>
          <w:sz w:val="20"/>
          <w:szCs w:val="20"/>
        </w:rPr>
        <w:t xml:space="preserve"> </w:t>
      </w:r>
      <w:r w:rsidRPr="00FB7347">
        <w:rPr>
          <w:rFonts w:ascii="Geometr706 Md TL" w:hAnsi="Geometr706 Md TL"/>
          <w:sz w:val="20"/>
          <w:szCs w:val="20"/>
        </w:rPr>
        <w:t>„</w:t>
      </w:r>
      <w:proofErr w:type="spellStart"/>
      <w:r w:rsidRPr="00FB7347">
        <w:rPr>
          <w:rFonts w:ascii="Geometr706 Md TL" w:hAnsi="Geometr706 Md TL"/>
          <w:sz w:val="20"/>
          <w:szCs w:val="20"/>
        </w:rPr>
        <w:t>Joint</w:t>
      </w:r>
      <w:proofErr w:type="spellEnd"/>
      <w:r w:rsidRPr="00FB7347">
        <w:rPr>
          <w:rFonts w:ascii="Geometr706 Md TL" w:hAnsi="Geometr706 Md TL"/>
          <w:sz w:val="20"/>
          <w:szCs w:val="20"/>
        </w:rPr>
        <w:t xml:space="preserve"> </w:t>
      </w:r>
      <w:proofErr w:type="spellStart"/>
      <w:r w:rsidRPr="00FB7347">
        <w:rPr>
          <w:rFonts w:ascii="Geometr706 Md TL" w:hAnsi="Geometr706 Md TL"/>
          <w:sz w:val="20"/>
          <w:szCs w:val="20"/>
        </w:rPr>
        <w:t>Action</w:t>
      </w:r>
      <w:proofErr w:type="spellEnd"/>
      <w:r w:rsidRPr="00FB7347">
        <w:rPr>
          <w:rFonts w:ascii="Geometr706 Md TL" w:hAnsi="Geometr706 Md TL"/>
          <w:sz w:val="20"/>
          <w:szCs w:val="20"/>
        </w:rPr>
        <w:t xml:space="preserve"> 2010” </w:t>
      </w:r>
      <w:r w:rsidRPr="00FB7347">
        <w:rPr>
          <w:rFonts w:ascii="Geometr706 Md TL" w:hAnsi="Geometr706 Md TL"/>
          <w:bCs/>
          <w:sz w:val="20"/>
          <w:szCs w:val="20"/>
        </w:rPr>
        <w:t xml:space="preserve">ietvaros </w:t>
      </w:r>
      <w:r w:rsidRPr="00FB7347">
        <w:rPr>
          <w:rFonts w:ascii="Geometr706 Md TL" w:hAnsi="Geometr706 Md TL"/>
          <w:sz w:val="20"/>
          <w:szCs w:val="20"/>
        </w:rPr>
        <w:t xml:space="preserve">tika apmeklēts projekta </w:t>
      </w:r>
      <w:r w:rsidRPr="00FB7347">
        <w:rPr>
          <w:rFonts w:ascii="Geometr706 Md TL" w:hAnsi="Geometr706 Md TL"/>
          <w:b/>
          <w:sz w:val="20"/>
          <w:szCs w:val="20"/>
        </w:rPr>
        <w:t>„Bērnu maskuballes tērpi”</w:t>
      </w:r>
      <w:r w:rsidRPr="00FB7347">
        <w:rPr>
          <w:rFonts w:ascii="Geometr706 Md TL" w:hAnsi="Geometr706 Md TL"/>
          <w:sz w:val="20"/>
          <w:szCs w:val="20"/>
        </w:rPr>
        <w:t xml:space="preserve"> noslēguma seminārs, kurā tika apkopota informācija par vei</w:t>
      </w:r>
      <w:r w:rsidR="00FB7347">
        <w:rPr>
          <w:rFonts w:ascii="Geometr706 Md TL" w:hAnsi="Geometr706 Md TL"/>
          <w:sz w:val="20"/>
          <w:szCs w:val="20"/>
        </w:rPr>
        <w:t>ktajiem testēšanas rezultātiem.</w:t>
      </w:r>
    </w:p>
    <w:p w:rsidR="00256E7F" w:rsidRPr="00FB7347" w:rsidRDefault="00256E7F" w:rsidP="00FB7347">
      <w:pPr>
        <w:spacing w:line="240" w:lineRule="auto"/>
        <w:jc w:val="both"/>
        <w:rPr>
          <w:rFonts w:ascii="Geometr706 Md TL" w:hAnsi="Geometr706 Md TL"/>
          <w:sz w:val="20"/>
          <w:szCs w:val="20"/>
        </w:rPr>
      </w:pPr>
      <w:r w:rsidRPr="00FB7347">
        <w:rPr>
          <w:rFonts w:ascii="Geometr706 Md TL" w:hAnsi="Geometr706 Md TL"/>
          <w:bCs/>
          <w:sz w:val="20"/>
          <w:szCs w:val="20"/>
        </w:rPr>
        <w:t>c) </w:t>
      </w:r>
      <w:r w:rsidRPr="00FB7347">
        <w:rPr>
          <w:rFonts w:ascii="Geometr706 Md TL" w:hAnsi="Geometr706 Md TL"/>
          <w:bCs/>
          <w:i/>
          <w:sz w:val="20"/>
          <w:szCs w:val="20"/>
        </w:rPr>
        <w:t>PROSAFE</w:t>
      </w:r>
      <w:r w:rsidRPr="00FB7347">
        <w:rPr>
          <w:rFonts w:ascii="Geometr706 Md TL" w:hAnsi="Geometr706 Md TL"/>
          <w:sz w:val="20"/>
          <w:szCs w:val="20"/>
        </w:rPr>
        <w:t xml:space="preserve"> „</w:t>
      </w:r>
      <w:proofErr w:type="spellStart"/>
      <w:r w:rsidRPr="00FB7347">
        <w:rPr>
          <w:rFonts w:ascii="Geometr706 Md TL" w:hAnsi="Geometr706 Md TL"/>
          <w:sz w:val="20"/>
          <w:szCs w:val="20"/>
        </w:rPr>
        <w:t>Joint</w:t>
      </w:r>
      <w:proofErr w:type="spellEnd"/>
      <w:r w:rsidRPr="00FB7347">
        <w:rPr>
          <w:rFonts w:ascii="Geometr706 Md TL" w:hAnsi="Geometr706 Md TL"/>
          <w:sz w:val="20"/>
          <w:szCs w:val="20"/>
        </w:rPr>
        <w:t xml:space="preserve"> </w:t>
      </w:r>
      <w:proofErr w:type="spellStart"/>
      <w:r w:rsidRPr="00FB7347">
        <w:rPr>
          <w:rFonts w:ascii="Geometr706 Md TL" w:hAnsi="Geometr706 Md TL"/>
          <w:sz w:val="20"/>
          <w:szCs w:val="20"/>
        </w:rPr>
        <w:t>Action</w:t>
      </w:r>
      <w:proofErr w:type="spellEnd"/>
      <w:r w:rsidRPr="00FB7347">
        <w:rPr>
          <w:rFonts w:ascii="Geometr706 Md TL" w:hAnsi="Geometr706 Md TL"/>
          <w:sz w:val="20"/>
          <w:szCs w:val="20"/>
        </w:rPr>
        <w:t xml:space="preserve"> 2010” </w:t>
      </w:r>
      <w:proofErr w:type="spellStart"/>
      <w:r w:rsidRPr="00FB7347">
        <w:rPr>
          <w:rFonts w:ascii="Geometr706 Md TL" w:hAnsi="Geometr706 Md TL"/>
          <w:sz w:val="20"/>
          <w:szCs w:val="20"/>
        </w:rPr>
        <w:t>kopprojekta</w:t>
      </w:r>
      <w:proofErr w:type="spellEnd"/>
      <w:r w:rsidRPr="00FB7347">
        <w:rPr>
          <w:rFonts w:ascii="Geometr706 Md TL" w:hAnsi="Geometr706 Md TL"/>
          <w:sz w:val="20"/>
          <w:szCs w:val="20"/>
        </w:rPr>
        <w:t xml:space="preserve"> ietvaros notika divas </w:t>
      </w:r>
      <w:r w:rsidRPr="00FB7347">
        <w:rPr>
          <w:rFonts w:ascii="Geometr706 Md TL" w:hAnsi="Geometr706 Md TL"/>
          <w:i/>
          <w:iCs/>
          <w:sz w:val="20"/>
          <w:szCs w:val="20"/>
        </w:rPr>
        <w:t>atstarojošā apģērba un brīdinājuma aprīkojuma tirgus uzraudzības</w:t>
      </w:r>
      <w:r w:rsidRPr="00FB7347">
        <w:rPr>
          <w:rFonts w:ascii="Geometr706 Md TL" w:hAnsi="Geometr706 Md TL"/>
          <w:sz w:val="20"/>
          <w:szCs w:val="20"/>
        </w:rPr>
        <w:t xml:space="preserve"> </w:t>
      </w:r>
      <w:proofErr w:type="spellStart"/>
      <w:r w:rsidRPr="00FB7347">
        <w:rPr>
          <w:rFonts w:ascii="Geometr706 Md TL" w:hAnsi="Geometr706 Md TL"/>
          <w:i/>
          <w:iCs/>
          <w:sz w:val="20"/>
          <w:szCs w:val="20"/>
        </w:rPr>
        <w:t>apakšprojekta</w:t>
      </w:r>
      <w:proofErr w:type="spellEnd"/>
      <w:r w:rsidRPr="00FB7347">
        <w:rPr>
          <w:rFonts w:ascii="Geometr706 Md TL" w:hAnsi="Geometr706 Md TL"/>
          <w:sz w:val="20"/>
          <w:szCs w:val="20"/>
        </w:rPr>
        <w:t xml:space="preserve"> sanāksmes, kā arī „</w:t>
      </w:r>
      <w:proofErr w:type="spellStart"/>
      <w:r w:rsidRPr="00FB7347">
        <w:rPr>
          <w:rFonts w:ascii="Geometr706 Md TL" w:hAnsi="Geometr706 Md TL"/>
          <w:sz w:val="20"/>
          <w:szCs w:val="20"/>
        </w:rPr>
        <w:t>Joint</w:t>
      </w:r>
      <w:proofErr w:type="spellEnd"/>
      <w:r w:rsidRPr="00FB7347">
        <w:rPr>
          <w:rFonts w:ascii="Geometr706 Md TL" w:hAnsi="Geometr706 Md TL"/>
          <w:sz w:val="20"/>
          <w:szCs w:val="20"/>
        </w:rPr>
        <w:t xml:space="preserve"> </w:t>
      </w:r>
      <w:proofErr w:type="spellStart"/>
      <w:r w:rsidRPr="00FB7347">
        <w:rPr>
          <w:rFonts w:ascii="Geometr706 Md TL" w:hAnsi="Geometr706 Md TL"/>
          <w:sz w:val="20"/>
          <w:szCs w:val="20"/>
        </w:rPr>
        <w:t>Action</w:t>
      </w:r>
      <w:proofErr w:type="spellEnd"/>
      <w:r w:rsidRPr="00FB7347">
        <w:rPr>
          <w:rFonts w:ascii="Geometr706 Md TL" w:hAnsi="Geometr706 Md TL"/>
          <w:sz w:val="20"/>
          <w:szCs w:val="20"/>
        </w:rPr>
        <w:t xml:space="preserve"> 2010” </w:t>
      </w:r>
      <w:proofErr w:type="spellStart"/>
      <w:r w:rsidRPr="00FB7347">
        <w:rPr>
          <w:rFonts w:ascii="Geometr706 Md TL" w:hAnsi="Geometr706 Md TL"/>
          <w:sz w:val="20"/>
          <w:szCs w:val="20"/>
        </w:rPr>
        <w:t>kopprojekta</w:t>
      </w:r>
      <w:proofErr w:type="spellEnd"/>
      <w:r w:rsidRPr="00FB7347">
        <w:rPr>
          <w:rFonts w:ascii="Geometr706 Md TL" w:hAnsi="Geometr706 Md TL"/>
          <w:sz w:val="20"/>
          <w:szCs w:val="20"/>
        </w:rPr>
        <w:t xml:space="preserve"> noslēguma konference, kurā tika ap</w:t>
      </w:r>
      <w:r w:rsidR="00FB7347">
        <w:rPr>
          <w:rFonts w:ascii="Geometr706 Md TL" w:hAnsi="Geometr706 Md TL"/>
          <w:sz w:val="20"/>
          <w:szCs w:val="20"/>
        </w:rPr>
        <w:t>spriesti kopprojekta rezultāti.</w:t>
      </w:r>
    </w:p>
    <w:p w:rsidR="00256E7F" w:rsidRPr="00FB7347" w:rsidRDefault="00256E7F" w:rsidP="00FB7347">
      <w:pPr>
        <w:spacing w:line="240" w:lineRule="auto"/>
        <w:jc w:val="both"/>
        <w:rPr>
          <w:rFonts w:ascii="Geometr706 Md TL" w:hAnsi="Geometr706 Md TL"/>
          <w:sz w:val="20"/>
          <w:szCs w:val="20"/>
        </w:rPr>
      </w:pPr>
      <w:r w:rsidRPr="00FB7347">
        <w:rPr>
          <w:rFonts w:ascii="Geometr706 Md TL" w:hAnsi="Geometr706 Md TL"/>
          <w:sz w:val="20"/>
          <w:szCs w:val="20"/>
        </w:rPr>
        <w:lastRenderedPageBreak/>
        <w:t xml:space="preserve">d) Notika </w:t>
      </w:r>
      <w:r w:rsidRPr="00FB7347">
        <w:rPr>
          <w:rFonts w:ascii="Geometr706 Md TL" w:hAnsi="Geometr706 Md TL"/>
          <w:bCs/>
          <w:i/>
          <w:sz w:val="20"/>
          <w:szCs w:val="20"/>
        </w:rPr>
        <w:t>PROSAFE</w:t>
      </w:r>
      <w:r w:rsidRPr="00FB7347">
        <w:rPr>
          <w:rFonts w:ascii="Geometr706 Md TL" w:hAnsi="Geometr706 Md TL"/>
          <w:sz w:val="20"/>
          <w:szCs w:val="20"/>
        </w:rPr>
        <w:t xml:space="preserve"> „</w:t>
      </w:r>
      <w:proofErr w:type="spellStart"/>
      <w:r w:rsidRPr="00FB7347">
        <w:rPr>
          <w:rFonts w:ascii="Geometr706 Md TL" w:hAnsi="Geometr706 Md TL"/>
          <w:sz w:val="20"/>
          <w:szCs w:val="20"/>
        </w:rPr>
        <w:t>Joint</w:t>
      </w:r>
      <w:proofErr w:type="spellEnd"/>
      <w:r w:rsidRPr="00FB7347">
        <w:rPr>
          <w:rFonts w:ascii="Geometr706 Md TL" w:hAnsi="Geometr706 Md TL"/>
          <w:sz w:val="20"/>
          <w:szCs w:val="20"/>
        </w:rPr>
        <w:t xml:space="preserve"> </w:t>
      </w:r>
      <w:proofErr w:type="spellStart"/>
      <w:r w:rsidRPr="00FB7347">
        <w:rPr>
          <w:rFonts w:ascii="Geometr706 Md TL" w:hAnsi="Geometr706 Md TL"/>
          <w:sz w:val="20"/>
          <w:szCs w:val="20"/>
        </w:rPr>
        <w:t>Action</w:t>
      </w:r>
      <w:proofErr w:type="spellEnd"/>
      <w:r w:rsidRPr="00FB7347">
        <w:rPr>
          <w:rFonts w:ascii="Geometr706 Md TL" w:hAnsi="Geometr706 Md TL"/>
          <w:sz w:val="20"/>
          <w:szCs w:val="20"/>
        </w:rPr>
        <w:t xml:space="preserve"> 2012” </w:t>
      </w:r>
      <w:proofErr w:type="spellStart"/>
      <w:r w:rsidRPr="00FB7347">
        <w:rPr>
          <w:rFonts w:ascii="Geometr706 Md TL" w:hAnsi="Geometr706 Md TL"/>
          <w:sz w:val="20"/>
          <w:szCs w:val="20"/>
        </w:rPr>
        <w:t>kopprojekta</w:t>
      </w:r>
      <w:proofErr w:type="spellEnd"/>
      <w:r w:rsidRPr="00FB7347">
        <w:rPr>
          <w:rFonts w:ascii="Geometr706 Md TL" w:hAnsi="Geometr706 Md TL"/>
          <w:sz w:val="20"/>
          <w:szCs w:val="20"/>
        </w:rPr>
        <w:t xml:space="preserve"> atklāšanas sanāksme, kurā projekta dalībnieki tika iepazīstināti ar projekta mērķi un vēlamajiem rezultātiem, kā arī tika apspriesti projekta organizatoriskie un finansiālie jautājumi, tika plānoti nākamie projekta soļi. Pārskata periodā notikušas vēl 3 sanāksmes, kuru laikā ir izstrādāts darba kārtības dokuments un sagatavota pārbaudes lapa (</w:t>
      </w:r>
      <w:proofErr w:type="spellStart"/>
      <w:r w:rsidRPr="00FB7347">
        <w:rPr>
          <w:rFonts w:ascii="Geometr706 Md TL" w:hAnsi="Geometr706 Md TL"/>
          <w:i/>
          <w:sz w:val="20"/>
          <w:szCs w:val="20"/>
        </w:rPr>
        <w:t>check</w:t>
      </w:r>
      <w:proofErr w:type="spellEnd"/>
      <w:r w:rsidRPr="00FB7347">
        <w:rPr>
          <w:rFonts w:ascii="Geometr706 Md TL" w:hAnsi="Geometr706 Md TL"/>
          <w:i/>
          <w:sz w:val="20"/>
          <w:szCs w:val="20"/>
        </w:rPr>
        <w:t xml:space="preserve"> </w:t>
      </w:r>
      <w:proofErr w:type="spellStart"/>
      <w:r w:rsidRPr="00FB7347">
        <w:rPr>
          <w:rFonts w:ascii="Geometr706 Md TL" w:hAnsi="Geometr706 Md TL"/>
          <w:i/>
          <w:sz w:val="20"/>
          <w:szCs w:val="20"/>
        </w:rPr>
        <w:t>list</w:t>
      </w:r>
      <w:proofErr w:type="spellEnd"/>
      <w:r w:rsidRPr="00FB7347">
        <w:rPr>
          <w:rFonts w:ascii="Geometr706 Md TL" w:hAnsi="Geometr706 Md TL"/>
          <w:sz w:val="20"/>
          <w:szCs w:val="20"/>
        </w:rPr>
        <w:t xml:space="preserve">), kā arī apspriesti preču parauga izņemšanas kritēriji. Sanāksmēs pārrunāti galvenie riska izvērtēšanas soļi un modeļi, lai veidotu vienotu izpratni par riska izvērtēšanas procesu, kā arī nolemts projekta laikā izmantot </w:t>
      </w:r>
      <w:proofErr w:type="spellStart"/>
      <w:r w:rsidRPr="00FB7347">
        <w:rPr>
          <w:rFonts w:ascii="Geometr706 Md TL" w:hAnsi="Geometr706 Md TL"/>
          <w:i/>
          <w:sz w:val="20"/>
          <w:szCs w:val="20"/>
        </w:rPr>
        <w:t>Home</w:t>
      </w:r>
      <w:proofErr w:type="spellEnd"/>
      <w:r w:rsidRPr="00FB7347">
        <w:rPr>
          <w:rFonts w:ascii="Geometr706 Md TL" w:hAnsi="Geometr706 Md TL"/>
          <w:i/>
          <w:sz w:val="20"/>
          <w:szCs w:val="20"/>
        </w:rPr>
        <w:t xml:space="preserve"> </w:t>
      </w:r>
      <w:proofErr w:type="spellStart"/>
      <w:r w:rsidRPr="00FB7347">
        <w:rPr>
          <w:rFonts w:ascii="Geometr706 Md TL" w:hAnsi="Geometr706 Md TL"/>
          <w:i/>
          <w:sz w:val="20"/>
          <w:szCs w:val="20"/>
        </w:rPr>
        <w:t>authority</w:t>
      </w:r>
      <w:proofErr w:type="spellEnd"/>
      <w:r w:rsidRPr="00FB7347">
        <w:rPr>
          <w:rFonts w:ascii="Geometr706 Md TL" w:hAnsi="Geometr706 Md TL"/>
          <w:sz w:val="20"/>
          <w:szCs w:val="20"/>
        </w:rPr>
        <w:t xml:space="preserve"> principu, t. i., lai paātrinātu korektīvo darbību procesu, ir nepieciešama sadarbība starp projektā iesaistītajām dalībvalstīm.</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Sanāksmju ietvaros apspriests un apstiprināts prioritāšu saraksts (bērnu aprūpes priekšmeti) nākama</w:t>
      </w:r>
      <w:r w:rsidR="00FB7347">
        <w:rPr>
          <w:rFonts w:ascii="Geometr706 Md TL" w:hAnsi="Geometr706 Md TL"/>
          <w:sz w:val="20"/>
          <w:szCs w:val="20"/>
        </w:rPr>
        <w:t>jiem „</w:t>
      </w:r>
      <w:proofErr w:type="spellStart"/>
      <w:r w:rsidR="00FB7347">
        <w:rPr>
          <w:rFonts w:ascii="Geometr706 Md TL" w:hAnsi="Geometr706 Md TL"/>
          <w:sz w:val="20"/>
          <w:szCs w:val="20"/>
        </w:rPr>
        <w:t>Joint</w:t>
      </w:r>
      <w:proofErr w:type="spellEnd"/>
      <w:r w:rsidR="00FB7347">
        <w:rPr>
          <w:rFonts w:ascii="Geometr706 Md TL" w:hAnsi="Geometr706 Md TL"/>
          <w:sz w:val="20"/>
          <w:szCs w:val="20"/>
        </w:rPr>
        <w:t xml:space="preserve"> </w:t>
      </w:r>
      <w:proofErr w:type="spellStart"/>
      <w:r w:rsidR="00FB7347">
        <w:rPr>
          <w:rFonts w:ascii="Geometr706 Md TL" w:hAnsi="Geometr706 Md TL"/>
          <w:sz w:val="20"/>
          <w:szCs w:val="20"/>
        </w:rPr>
        <w:t>Action</w:t>
      </w:r>
      <w:proofErr w:type="spellEnd"/>
      <w:r w:rsidR="00FB7347">
        <w:rPr>
          <w:rFonts w:ascii="Geometr706 Md TL" w:hAnsi="Geometr706 Md TL"/>
          <w:sz w:val="20"/>
          <w:szCs w:val="20"/>
        </w:rPr>
        <w:t>” projektiem.</w:t>
      </w:r>
    </w:p>
    <w:p w:rsidR="00256E7F" w:rsidRPr="00FB7347" w:rsidRDefault="00256E7F" w:rsidP="00FB7347">
      <w:pPr>
        <w:spacing w:line="240" w:lineRule="auto"/>
        <w:jc w:val="both"/>
        <w:rPr>
          <w:rFonts w:ascii="Geometr706 Md TL" w:hAnsi="Geometr706 Md TL"/>
          <w:i/>
          <w:sz w:val="20"/>
          <w:szCs w:val="20"/>
          <w:u w:val="single"/>
        </w:rPr>
      </w:pPr>
      <w:r w:rsidRPr="00FB7347">
        <w:rPr>
          <w:rFonts w:ascii="Geometr706 Md TL" w:hAnsi="Geometr706 Md TL"/>
          <w:i/>
          <w:sz w:val="20"/>
          <w:szCs w:val="20"/>
          <w:u w:val="single"/>
        </w:rPr>
        <w:t>EK administratīvā sadarbība</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Zemsprieguma direktīvas administratīvās sadarbības tirgus uzraudzības kopprojekta ietvaros sadarbībā ar Nīderlandes kolēģiem PTAC ir izstrādājis pārbaudes lapas tirgus uzraudzības pasākumu īstenošanai.</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 xml:space="preserve">Tika apmeklētas divas </w:t>
      </w:r>
      <w:r w:rsidRPr="00FB7347">
        <w:rPr>
          <w:rFonts w:ascii="Geometr706 Md TL" w:hAnsi="Geometr706 Md TL"/>
          <w:i/>
          <w:sz w:val="20"/>
          <w:szCs w:val="20"/>
        </w:rPr>
        <w:t>RAPEX</w:t>
      </w:r>
      <w:r w:rsidRPr="00FB7347">
        <w:rPr>
          <w:rFonts w:ascii="Geometr706 Md TL" w:hAnsi="Geometr706 Md TL"/>
          <w:sz w:val="20"/>
          <w:szCs w:val="20"/>
        </w:rPr>
        <w:t xml:space="preserve"> kontaktpunktu sanāksmes, kur tika iegūta vispārēja informācija par iepriekšējā gadā paveikto, par plānoto sistēmas </w:t>
      </w:r>
      <w:r w:rsidRPr="00FB7347">
        <w:rPr>
          <w:rFonts w:ascii="Geometr706 Md TL" w:hAnsi="Geometr706 Md TL"/>
          <w:i/>
          <w:sz w:val="20"/>
          <w:szCs w:val="20"/>
        </w:rPr>
        <w:t>GRAS</w:t>
      </w:r>
      <w:r w:rsidRPr="00FB7347">
        <w:rPr>
          <w:rFonts w:ascii="Geometr706 Md TL" w:hAnsi="Geometr706 Md TL"/>
          <w:sz w:val="20"/>
          <w:szCs w:val="20"/>
        </w:rPr>
        <w:t>-</w:t>
      </w:r>
      <w:r w:rsidRPr="00FB7347">
        <w:rPr>
          <w:rFonts w:ascii="Geometr706 Md TL" w:hAnsi="Geometr706 Md TL"/>
          <w:i/>
          <w:sz w:val="20"/>
          <w:szCs w:val="20"/>
        </w:rPr>
        <w:t>RAPEX</w:t>
      </w:r>
      <w:r w:rsidRPr="00FB7347">
        <w:rPr>
          <w:rFonts w:ascii="Geometr706 Md TL" w:hAnsi="Geometr706 Md TL"/>
          <w:sz w:val="20"/>
          <w:szCs w:val="20"/>
        </w:rPr>
        <w:t xml:space="preserve"> lietošanā un aktuālākajām problēmām, kas saistītas ar nedrošu preču riska vērtēšanu.</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 xml:space="preserve">2013. gada 2.–3. maijā un 10.–11. oktobrī tika apmeklēta administratīvās sadarbības sanāksme par direktīvas 2009/48/EK par rotaļlietu drošumu īstenošanu (02.05.2013. un 10.10.2013.), ekspertu grupas sanāksme par direktīvas 2009/48/EK par rotaļlietu drošumu īstenošanu (03.05.2013. un 11.10.2013.) un rotaļlietu drošuma komitejas sanāksme (03.05.2013. un 11.10.2013.). Sanāksmju laikā tika apspriesti standartizācijas un tirgus uzraudzības jautājumi, tostarp drošības procedūra, apspriesti vadlīniju dokumenti un dažādu izstrādājumu klasifikācijas problēmas; apspriestas rotaļlietu drošuma direktīvas un tehniskās dokumentācijas vadlīnijas, iegūta informācija par EK, kā arī par </w:t>
      </w:r>
      <w:r w:rsidRPr="00FB7347">
        <w:rPr>
          <w:rFonts w:ascii="Geometr706 Md TL" w:hAnsi="Geometr706 Md TL"/>
          <w:i/>
          <w:sz w:val="20"/>
          <w:szCs w:val="20"/>
        </w:rPr>
        <w:t>CEN</w:t>
      </w:r>
      <w:r w:rsidRPr="00FB7347">
        <w:rPr>
          <w:rFonts w:ascii="Geometr706 Md TL" w:hAnsi="Geometr706 Md TL"/>
          <w:sz w:val="20"/>
          <w:szCs w:val="20"/>
        </w:rPr>
        <w:t xml:space="preserve">, </w:t>
      </w:r>
      <w:r w:rsidRPr="00FB7347">
        <w:rPr>
          <w:rFonts w:ascii="Geometr706 Md TL" w:hAnsi="Geometr706 Md TL"/>
          <w:i/>
          <w:sz w:val="20"/>
          <w:szCs w:val="20"/>
        </w:rPr>
        <w:t>CENELEC</w:t>
      </w:r>
      <w:r w:rsidRPr="00FB7347">
        <w:rPr>
          <w:rFonts w:ascii="Geometr706 Md TL" w:hAnsi="Geometr706 Md TL"/>
          <w:sz w:val="20"/>
          <w:szCs w:val="20"/>
        </w:rPr>
        <w:t xml:space="preserve"> un paziņoto institūciju aktivitātēm; iegūta informācija par direktīvas 2009/48/EK par rotaļlietu drošumu projekta grozījumiem attiecībā uz bāriju, svinu un </w:t>
      </w:r>
      <w:proofErr w:type="spellStart"/>
      <w:r w:rsidRPr="00FB7347">
        <w:rPr>
          <w:rFonts w:ascii="Geometr706 Md TL" w:hAnsi="Geometr706 Md TL"/>
          <w:sz w:val="20"/>
          <w:szCs w:val="20"/>
        </w:rPr>
        <w:t>bisfenolu</w:t>
      </w:r>
      <w:proofErr w:type="spellEnd"/>
      <w:r w:rsidRPr="00FB7347">
        <w:rPr>
          <w:rFonts w:ascii="Geometr706 Md TL" w:hAnsi="Geometr706 Md TL"/>
          <w:sz w:val="20"/>
          <w:szCs w:val="20"/>
        </w:rPr>
        <w:t> A (</w:t>
      </w:r>
      <w:proofErr w:type="spellStart"/>
      <w:r w:rsidRPr="00FB7347">
        <w:rPr>
          <w:rFonts w:ascii="Geometr706 Md TL" w:hAnsi="Geometr706 Md TL"/>
          <w:sz w:val="20"/>
          <w:szCs w:val="20"/>
        </w:rPr>
        <w:t>BpA</w:t>
      </w:r>
      <w:proofErr w:type="spellEnd"/>
      <w:r w:rsidRPr="00FB7347">
        <w:rPr>
          <w:rFonts w:ascii="Geometr706 Md TL" w:hAnsi="Geometr706 Md TL"/>
          <w:sz w:val="20"/>
          <w:szCs w:val="20"/>
        </w:rPr>
        <w:t>); apspriesti liesmu slāpētāji (</w:t>
      </w:r>
      <w:r w:rsidRPr="00FB7347">
        <w:rPr>
          <w:rFonts w:ascii="Geometr706 Md TL" w:hAnsi="Geometr706 Md TL"/>
          <w:i/>
          <w:sz w:val="20"/>
          <w:szCs w:val="20"/>
        </w:rPr>
        <w:t>TCEP</w:t>
      </w:r>
      <w:r w:rsidRPr="00FB7347">
        <w:rPr>
          <w:rFonts w:ascii="Geometr706 Md TL" w:hAnsi="Geometr706 Md TL"/>
          <w:sz w:val="20"/>
          <w:szCs w:val="20"/>
        </w:rPr>
        <w:t>/</w:t>
      </w:r>
      <w:r w:rsidRPr="00FB7347">
        <w:rPr>
          <w:rFonts w:ascii="Geometr706 Md TL" w:hAnsi="Geometr706 Md TL"/>
          <w:i/>
          <w:sz w:val="20"/>
          <w:szCs w:val="20"/>
        </w:rPr>
        <w:t>TCPP</w:t>
      </w:r>
      <w:r w:rsidRPr="00FB7347">
        <w:rPr>
          <w:rFonts w:ascii="Geometr706 Md TL" w:hAnsi="Geometr706 Md TL"/>
          <w:sz w:val="20"/>
          <w:szCs w:val="20"/>
        </w:rPr>
        <w:t>/</w:t>
      </w:r>
      <w:r w:rsidRPr="00FB7347">
        <w:rPr>
          <w:rFonts w:ascii="Geometr706 Md TL" w:hAnsi="Geometr706 Md TL"/>
          <w:i/>
          <w:sz w:val="20"/>
          <w:szCs w:val="20"/>
        </w:rPr>
        <w:t>TDCP</w:t>
      </w:r>
      <w:r w:rsidRPr="00FB7347">
        <w:rPr>
          <w:rFonts w:ascii="Geometr706 Md TL" w:hAnsi="Geometr706 Md TL"/>
          <w:sz w:val="20"/>
          <w:szCs w:val="20"/>
        </w:rPr>
        <w:t>) un svina ietekmes novērtējums.</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 xml:space="preserve">2013. gada 8. novembrī tika apmeklēts otrais EK seminārs „Risku, kas saistīti ar ķīmiskām vielām, pārvaldīšana: </w:t>
      </w:r>
      <w:r w:rsidRPr="00FB7347">
        <w:rPr>
          <w:rFonts w:ascii="Geometr706 Md TL" w:hAnsi="Geometr706 Md TL"/>
          <w:i/>
          <w:sz w:val="20"/>
          <w:szCs w:val="20"/>
        </w:rPr>
        <w:t>REACH</w:t>
      </w:r>
      <w:r w:rsidRPr="00FB7347">
        <w:rPr>
          <w:rFonts w:ascii="Geometr706 Md TL" w:hAnsi="Geometr706 Md TL"/>
          <w:sz w:val="20"/>
          <w:szCs w:val="20"/>
        </w:rPr>
        <w:t xml:space="preserve"> un nozares speciālās tiesību normas”, kurā iegūta informācija par regulā Nr. 1907/2006 (</w:t>
      </w:r>
      <w:r w:rsidRPr="00FB7347">
        <w:rPr>
          <w:rFonts w:ascii="Geometr706 Md TL" w:hAnsi="Geometr706 Md TL"/>
          <w:i/>
          <w:sz w:val="20"/>
          <w:szCs w:val="20"/>
        </w:rPr>
        <w:t>REACH</w:t>
      </w:r>
      <w:r w:rsidRPr="00FB7347">
        <w:rPr>
          <w:rFonts w:ascii="Geometr706 Md TL" w:hAnsi="Geometr706 Md TL"/>
          <w:sz w:val="20"/>
          <w:szCs w:val="20"/>
        </w:rPr>
        <w:t>), direktīvā 2009/48/EK par rotaļlietu drošumu un direktīvā 2011/65/ES noteikto dažu bīstamu vielu izmantošanas ierobežošanu elektriskajās un elektroniskajās iekārtās, noteiktajiem ķīmisko vielu ierobežojumiem rotaļlietās un elektriskajās un elektroniskajās iekārtās un minēto tiesību normu kolīzijām.</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2013. gada 12. novembrī PTAC pārstāvis apmeklēja administratīvās sadarbības sanāksmi p</w:t>
      </w:r>
      <w:r w:rsidR="00FB7347">
        <w:rPr>
          <w:rFonts w:ascii="Geometr706 Md TL" w:hAnsi="Geometr706 Md TL"/>
          <w:sz w:val="20"/>
          <w:szCs w:val="20"/>
        </w:rPr>
        <w:t>ar IAL direktīvu.</w:t>
      </w:r>
    </w:p>
    <w:p w:rsidR="00256E7F" w:rsidRPr="00FB7347" w:rsidRDefault="00256E7F" w:rsidP="00FB7347">
      <w:pPr>
        <w:tabs>
          <w:tab w:val="left" w:pos="567"/>
        </w:tabs>
        <w:spacing w:line="240" w:lineRule="auto"/>
        <w:jc w:val="both"/>
        <w:rPr>
          <w:rFonts w:ascii="Geometr706 Md TL" w:eastAsia="Calibri" w:hAnsi="Geometr706 Md TL"/>
          <w:sz w:val="20"/>
          <w:szCs w:val="20"/>
        </w:rPr>
      </w:pPr>
      <w:r w:rsidRPr="00FB7347">
        <w:rPr>
          <w:rFonts w:ascii="Geometr706 Md TL" w:eastAsia="Calibri" w:hAnsi="Geometr706 Md TL"/>
          <w:sz w:val="20"/>
          <w:szCs w:val="20"/>
        </w:rPr>
        <w:tab/>
        <w:t>Piedaloties Starptautiskā patērētāju aizsardzības sadarbības tīkla (</w:t>
      </w:r>
      <w:r w:rsidRPr="00FB7347">
        <w:rPr>
          <w:rFonts w:ascii="Geometr706 Md TL" w:eastAsia="Calibri" w:hAnsi="Geometr706 Md TL"/>
          <w:i/>
          <w:sz w:val="20"/>
          <w:szCs w:val="20"/>
        </w:rPr>
        <w:t>ICPEN</w:t>
      </w:r>
      <w:r w:rsidRPr="00FB7347">
        <w:rPr>
          <w:rFonts w:ascii="Geometr706 Md TL" w:eastAsia="Calibri" w:hAnsi="Geometr706 Md TL"/>
          <w:sz w:val="20"/>
          <w:szCs w:val="20"/>
        </w:rPr>
        <w:t>) kopīgajās aktivitātēs, PTAC ir uzsācis pētīt un apzināt situāciju, kas saistīta ar esošu vai iespējamu mazāk aizsargātās patērētāju grupas, proti, bērnu, ekonomisko interešu aizskārumu, piedāvājot bērniem spēles tiešsaistes vidē.</w:t>
      </w:r>
    </w:p>
    <w:p w:rsidR="00256E7F" w:rsidRPr="00FB7347" w:rsidRDefault="00256E7F" w:rsidP="00FB7347">
      <w:pPr>
        <w:tabs>
          <w:tab w:val="left" w:pos="567"/>
        </w:tabs>
        <w:spacing w:line="240" w:lineRule="auto"/>
        <w:jc w:val="both"/>
        <w:rPr>
          <w:rFonts w:ascii="Geometr706 Md TL" w:eastAsia="Calibri" w:hAnsi="Geometr706 Md TL"/>
          <w:sz w:val="20"/>
          <w:szCs w:val="20"/>
        </w:rPr>
      </w:pPr>
      <w:r w:rsidRPr="00FB7347">
        <w:rPr>
          <w:rFonts w:ascii="Geometr706 Md TL" w:eastAsia="Calibri" w:hAnsi="Geometr706 Md TL"/>
          <w:sz w:val="20"/>
          <w:szCs w:val="20"/>
        </w:rPr>
        <w:tab/>
        <w:t>Projekta ietvaros ir pārbaudītas 17 interneta vietnes, kurās piedāvātas bērniem paredzētas spēles tiešsaistē. Kopumā ir pārbaudītas 60 bērniem paredzētās tiešsaistes spēles, no kurām 19 spēles ir atzītas par produktiem, kuru piedāvāšana un (vai) izmantošana varētu ietekmēt patērētāju ekonomisko rīcību (maksas produkti).</w:t>
      </w:r>
    </w:p>
    <w:p w:rsidR="00256E7F" w:rsidRPr="00FB7347" w:rsidRDefault="00256E7F" w:rsidP="00FB7347">
      <w:pPr>
        <w:spacing w:line="240" w:lineRule="auto"/>
        <w:ind w:firstLine="720"/>
        <w:jc w:val="both"/>
        <w:rPr>
          <w:rFonts w:ascii="Geometr706 Md TL" w:eastAsia="Calibri" w:hAnsi="Geometr706 Md TL"/>
          <w:sz w:val="20"/>
          <w:szCs w:val="20"/>
        </w:rPr>
      </w:pPr>
      <w:r w:rsidRPr="00FB7347">
        <w:rPr>
          <w:rFonts w:ascii="Geometr706 Md TL" w:eastAsia="Calibri" w:hAnsi="Geometr706 Md TL"/>
          <w:sz w:val="20"/>
          <w:szCs w:val="20"/>
        </w:rPr>
        <w:lastRenderedPageBreak/>
        <w:t>Pamatojoties uz pārbaudēs konstatēto, ir uzsāktas 4 administratīvās lietas: 3 ir saistītas ar Latvijas pakalpojumu sniedzēju interneta vietnēs piedāvātajām tiešsaistes spēlēm, 1 – ar Vācijas pakalpojumu sniedzēja interneta vietnē piedāvāto tiešsaistes spēli.</w:t>
      </w:r>
    </w:p>
    <w:p w:rsidR="00256E7F" w:rsidRPr="00FB7347" w:rsidRDefault="00256E7F" w:rsidP="00FB7347">
      <w:pPr>
        <w:tabs>
          <w:tab w:val="left" w:pos="567"/>
        </w:tabs>
        <w:spacing w:line="240" w:lineRule="auto"/>
        <w:jc w:val="both"/>
        <w:rPr>
          <w:rFonts w:ascii="Geometr706 Md TL" w:eastAsia="Calibri" w:hAnsi="Geometr706 Md TL"/>
          <w:sz w:val="20"/>
          <w:szCs w:val="20"/>
        </w:rPr>
      </w:pPr>
      <w:r w:rsidRPr="00FB7347">
        <w:rPr>
          <w:rFonts w:ascii="Geometr706 Md TL" w:eastAsia="Calibri" w:hAnsi="Geometr706 Md TL"/>
          <w:sz w:val="20"/>
          <w:szCs w:val="20"/>
        </w:rPr>
        <w:tab/>
        <w:t xml:space="preserve">Būtiskākās </w:t>
      </w:r>
      <w:proofErr w:type="spellStart"/>
      <w:r w:rsidRPr="00FB7347">
        <w:rPr>
          <w:rFonts w:ascii="Geometr706 Md TL" w:eastAsia="Calibri" w:hAnsi="Geometr706 Md TL"/>
          <w:sz w:val="20"/>
          <w:szCs w:val="20"/>
        </w:rPr>
        <w:t>pirmšķietami</w:t>
      </w:r>
      <w:proofErr w:type="spellEnd"/>
      <w:r w:rsidRPr="00FB7347">
        <w:rPr>
          <w:rFonts w:ascii="Geometr706 Md TL" w:eastAsia="Calibri" w:hAnsi="Geometr706 Md TL"/>
          <w:sz w:val="20"/>
          <w:szCs w:val="20"/>
        </w:rPr>
        <w:t xml:space="preserve"> konstatētās neatbilstības ir saistītas ar nepietiekamu, nesavlaicīgu vai citādi maldinošu informāciju par maksas produktiem, to cenām un distances līguma noteikumiem, bērniem tieši izteiktiem piedāvājumiem iegādāties maksas produktus un vecāku iespējām kontrolēt bērnu rīcību, pasūtot spēļu ietvaros piedāvātos maksas produktus.</w:t>
      </w:r>
    </w:p>
    <w:p w:rsidR="00256E7F" w:rsidRPr="00FB7347" w:rsidRDefault="00256E7F" w:rsidP="00FB7347">
      <w:pPr>
        <w:spacing w:line="240" w:lineRule="auto"/>
        <w:ind w:firstLine="720"/>
        <w:jc w:val="both"/>
        <w:rPr>
          <w:rFonts w:ascii="Geometr706 Md TL" w:eastAsia="Calibri" w:hAnsi="Geometr706 Md TL"/>
          <w:sz w:val="20"/>
          <w:szCs w:val="20"/>
        </w:rPr>
      </w:pPr>
      <w:r w:rsidRPr="00FB7347">
        <w:rPr>
          <w:rFonts w:ascii="Geometr706 Md TL" w:eastAsia="Calibri" w:hAnsi="Geometr706 Md TL"/>
          <w:sz w:val="20"/>
          <w:szCs w:val="20"/>
        </w:rPr>
        <w:t>3 gadījumos PTAC ir sazinājies ar tiešsaistes spēļu interneta vietņu uzturētājiem, pieprasījis un saņēmis lietu izskatīšanai nepieciešamo informāciju. 1 lietā turpinās Vācijas tiešsaistes spēļu izstrādātāja un organizētāja piedāvāto noteikumu un sniegtās informācijas izvērtēšana.</w:t>
      </w:r>
    </w:p>
    <w:p w:rsidR="00256E7F" w:rsidRPr="00FB7347" w:rsidRDefault="00256E7F" w:rsidP="00FB7347">
      <w:pPr>
        <w:spacing w:line="240" w:lineRule="auto"/>
        <w:ind w:firstLine="709"/>
        <w:jc w:val="both"/>
        <w:rPr>
          <w:rFonts w:ascii="Geometr706 Md TL" w:eastAsia="Calibri" w:hAnsi="Geometr706 Md TL"/>
          <w:sz w:val="20"/>
          <w:szCs w:val="20"/>
        </w:rPr>
      </w:pPr>
      <w:r w:rsidRPr="00FB7347">
        <w:rPr>
          <w:rFonts w:ascii="Geometr706 Md TL" w:eastAsia="Calibri" w:hAnsi="Geometr706 Md TL"/>
          <w:sz w:val="20"/>
          <w:szCs w:val="20"/>
        </w:rPr>
        <w:t>Pēc iegūtās informācijas izvērtēšanas, kā arī ievērojot EK un citu ES dalībvalstu kopīgo aktivitāšu ietvaros izdarītos secinājumus un kopīgo nostāju, tiks lemts par atbilstošākajiem uzraudzības pasākumiem, tostarp tiks izvērtēta nepieciešamība izstrādāt vadlīnijas uzņēmējiem un ieteikumus patērētājiem.</w:t>
      </w:r>
    </w:p>
    <w:p w:rsidR="00256E7F" w:rsidRPr="00FB7347" w:rsidRDefault="00256E7F" w:rsidP="00FB7347">
      <w:pPr>
        <w:tabs>
          <w:tab w:val="left" w:pos="567"/>
        </w:tabs>
        <w:spacing w:line="240" w:lineRule="auto"/>
        <w:jc w:val="both"/>
        <w:rPr>
          <w:rFonts w:ascii="Geometr706 Md TL" w:eastAsia="Calibri" w:hAnsi="Geometr706 Md TL"/>
          <w:sz w:val="20"/>
          <w:szCs w:val="20"/>
        </w:rPr>
      </w:pPr>
      <w:r w:rsidRPr="00FB7347">
        <w:rPr>
          <w:rFonts w:ascii="Geometr706 Md TL" w:eastAsia="Calibri" w:hAnsi="Geometr706 Md TL"/>
          <w:sz w:val="20"/>
          <w:szCs w:val="20"/>
        </w:rPr>
        <w:tab/>
        <w:t>Piedaloties ES dalībvalstu kopīgajās aktivitātēs „</w:t>
      </w:r>
      <w:proofErr w:type="spellStart"/>
      <w:r w:rsidRPr="00FB7347">
        <w:rPr>
          <w:rFonts w:ascii="Geometr706 Md TL" w:eastAsia="Calibri" w:hAnsi="Geometr706 Md TL"/>
          <w:sz w:val="20"/>
          <w:szCs w:val="20"/>
        </w:rPr>
        <w:t>Sweep</w:t>
      </w:r>
      <w:proofErr w:type="spellEnd"/>
      <w:r w:rsidRPr="00FB7347">
        <w:rPr>
          <w:rFonts w:ascii="Geometr706 Md TL" w:eastAsia="Calibri" w:hAnsi="Geometr706 Md TL"/>
          <w:sz w:val="20"/>
          <w:szCs w:val="20"/>
        </w:rPr>
        <w:t xml:space="preserve"> 2013”, kas tika veltītas transporta pakalpojumiem, PTAC uzsāka izvērtēt 12 mājaslapu, kurās </w:t>
      </w:r>
      <w:r w:rsidRPr="00FB7347">
        <w:rPr>
          <w:rFonts w:ascii="Geometr706 Md TL" w:eastAsia="Calibri" w:hAnsi="Geometr706 Md TL"/>
          <w:b/>
          <w:sz w:val="20"/>
          <w:szCs w:val="20"/>
        </w:rPr>
        <w:t xml:space="preserve">patērētājiem tiek piedāvāts tiešsaistē iegādāties aviobiļetes </w:t>
      </w:r>
      <w:r w:rsidRPr="00FB7347">
        <w:rPr>
          <w:rFonts w:ascii="Geometr706 Md TL" w:eastAsia="Calibri" w:hAnsi="Geometr706 Md TL"/>
          <w:sz w:val="20"/>
          <w:szCs w:val="20"/>
        </w:rPr>
        <w:t>(pārbaudes veiktas galvenokārt t. s. starpnieku mājaslapās). Izvērtēšanas un uzraudzības darbību veikšana noris saskaņā ar EK izstrādāto projekta „</w:t>
      </w:r>
      <w:proofErr w:type="spellStart"/>
      <w:r w:rsidRPr="00FB7347">
        <w:rPr>
          <w:rFonts w:ascii="Geometr706 Md TL" w:eastAsia="Calibri" w:hAnsi="Geometr706 Md TL"/>
          <w:sz w:val="20"/>
          <w:szCs w:val="20"/>
        </w:rPr>
        <w:t>Sweep</w:t>
      </w:r>
      <w:proofErr w:type="spellEnd"/>
      <w:r w:rsidRPr="00FB7347">
        <w:rPr>
          <w:rFonts w:ascii="Geometr706 Md TL" w:eastAsia="Calibri" w:hAnsi="Geometr706 Md TL"/>
          <w:sz w:val="20"/>
          <w:szCs w:val="20"/>
        </w:rPr>
        <w:t xml:space="preserve"> 2013” plānu. 10 gadījumos PTAC ir sazinājies ar komercprakses īstenotājiem un izteicis ierosinājumus labprātīgi novērst konstatētos pārkāpumus: 1 gadījumā lieta pabeigta pēc labprātīgas pārkāpumu novēršanas, savukārt 9 gadījumos norādītās neatbilstības ir novērstas daļēji. Lai apzinātu problēmjautājumus, kas saistīti ar normatīvo aktu izpildi, tika rīkotas vairākas tikšanās ar Latvijas Tūrisma aģentu un operatoru asociāciju. Veicot izvērtēšanu, pārkāpumi konstatēti visās mājaslapās. </w:t>
      </w:r>
      <w:r w:rsidRPr="00FB7347">
        <w:rPr>
          <w:rFonts w:ascii="Geometr706 Md TL" w:eastAsia="Calibri" w:hAnsi="Geometr706 Md TL"/>
          <w:b/>
          <w:sz w:val="20"/>
          <w:szCs w:val="20"/>
        </w:rPr>
        <w:t>Galvenie konstatētie pārkāpumi</w:t>
      </w:r>
      <w:r w:rsidRPr="00FB7347">
        <w:rPr>
          <w:rFonts w:ascii="Geometr706 Md TL" w:eastAsia="Calibri" w:hAnsi="Geometr706 Md TL"/>
          <w:sz w:val="20"/>
          <w:szCs w:val="20"/>
        </w:rPr>
        <w:t xml:space="preserve"> ir saistīti ar informācijas nesniegšanu par pakalpojuma sniedzēju, kontaktinformācijas noklusēšanu, nepilnīgas informācijas sniegšanu par pakalpojuma cenu, bagāžu, patērētāju sūdzību izskatīšanas kārtību un līguma noteikumu pasniegšanas veidu un pieejamību, kā arī to saglabāšanas iespējām.</w:t>
      </w:r>
    </w:p>
    <w:p w:rsidR="00256E7F" w:rsidRPr="00FB7347" w:rsidRDefault="00256E7F" w:rsidP="00FB7347">
      <w:pPr>
        <w:tabs>
          <w:tab w:val="left" w:pos="567"/>
        </w:tabs>
        <w:spacing w:line="240" w:lineRule="auto"/>
        <w:jc w:val="both"/>
        <w:rPr>
          <w:rFonts w:ascii="Geometr706 Md TL" w:eastAsia="Calibri" w:hAnsi="Geometr706 Md TL"/>
          <w:sz w:val="20"/>
          <w:szCs w:val="20"/>
        </w:rPr>
      </w:pPr>
      <w:r w:rsidRPr="00FB7347">
        <w:rPr>
          <w:rFonts w:ascii="Geometr706 Md TL" w:eastAsia="Calibri" w:hAnsi="Geometr706 Md TL"/>
          <w:sz w:val="20"/>
          <w:szCs w:val="20"/>
        </w:rPr>
        <w:tab/>
        <w:t>Uzraudzības pasākumi tiks turpināti arī 2014. gadā, ievērojot arī ES dalībvalstu kopējās aktivitātes konstatēto problēmjautājumu risināšanā konkrētajā jomā.</w:t>
      </w:r>
    </w:p>
    <w:p w:rsidR="00256E7F" w:rsidRPr="00256E7F" w:rsidRDefault="00256E7F" w:rsidP="00FB7347">
      <w:pPr>
        <w:tabs>
          <w:tab w:val="left" w:pos="709"/>
        </w:tabs>
        <w:spacing w:line="240" w:lineRule="auto"/>
        <w:rPr>
          <w:rFonts w:ascii="Geometr706 Md TL" w:eastAsia="Calibri" w:hAnsi="Geometr706 Md TL"/>
        </w:rPr>
      </w:pPr>
    </w:p>
    <w:p w:rsidR="00256E7F" w:rsidRPr="00256E7F" w:rsidRDefault="00256E7F" w:rsidP="00256E7F">
      <w:pPr>
        <w:pStyle w:val="Heading2"/>
        <w:spacing w:before="0" w:line="240" w:lineRule="auto"/>
        <w:jc w:val="center"/>
        <w:rPr>
          <w:rFonts w:ascii="Geometr706 Md TL" w:hAnsi="Geometr706 Md TL" w:cs="Times New Roman"/>
          <w:color w:val="auto"/>
          <w:sz w:val="28"/>
          <w:szCs w:val="28"/>
        </w:rPr>
      </w:pPr>
      <w:bookmarkStart w:id="82" w:name="_2.4._Pārsūdzētie_lēmumi"/>
      <w:bookmarkStart w:id="83" w:name="_Toc380143885"/>
      <w:bookmarkStart w:id="84" w:name="_Toc380147125"/>
      <w:bookmarkStart w:id="85" w:name="_Toc392836111"/>
      <w:bookmarkEnd w:id="82"/>
      <w:r w:rsidRPr="00256E7F">
        <w:rPr>
          <w:rFonts w:ascii="Geometr706 Md TL" w:hAnsi="Geometr706 Md TL" w:cs="Times New Roman"/>
          <w:color w:val="auto"/>
          <w:sz w:val="28"/>
          <w:szCs w:val="28"/>
        </w:rPr>
        <w:t>2.4. Pārsūdzētie lēmumi un tiesvedība</w:t>
      </w:r>
      <w:bookmarkEnd w:id="83"/>
      <w:bookmarkEnd w:id="84"/>
      <w:bookmarkEnd w:id="85"/>
    </w:p>
    <w:p w:rsidR="00256E7F" w:rsidRPr="00FB7347" w:rsidRDefault="00256E7F" w:rsidP="00256E7F">
      <w:pPr>
        <w:spacing w:line="240" w:lineRule="auto"/>
        <w:ind w:right="41"/>
        <w:rPr>
          <w:rFonts w:ascii="Geometr706 Md TL" w:hAnsi="Geometr706 Md TL"/>
          <w:b/>
          <w:bCs/>
          <w:sz w:val="20"/>
          <w:szCs w:val="20"/>
        </w:rPr>
      </w:pPr>
    </w:p>
    <w:p w:rsidR="00256E7F" w:rsidRPr="00FB7347" w:rsidRDefault="00256E7F" w:rsidP="00256E7F">
      <w:pPr>
        <w:spacing w:line="240" w:lineRule="auto"/>
        <w:ind w:right="41"/>
        <w:rPr>
          <w:rFonts w:ascii="Geometr706 Md TL" w:hAnsi="Geometr706 Md TL"/>
          <w:b/>
          <w:bCs/>
          <w:sz w:val="20"/>
          <w:szCs w:val="20"/>
        </w:rPr>
      </w:pPr>
      <w:r w:rsidRPr="00FB7347">
        <w:rPr>
          <w:rFonts w:ascii="Geometr706 Md TL" w:hAnsi="Geometr706 Md TL"/>
          <w:b/>
          <w:bCs/>
          <w:sz w:val="20"/>
          <w:szCs w:val="20"/>
        </w:rPr>
        <w:t>Pārsūdzētie lēmumi</w:t>
      </w:r>
    </w:p>
    <w:p w:rsidR="00256E7F" w:rsidRPr="00FB7347" w:rsidRDefault="00256E7F" w:rsidP="00256E7F">
      <w:pPr>
        <w:pStyle w:val="Default"/>
        <w:ind w:right="41" w:firstLine="709"/>
        <w:jc w:val="both"/>
        <w:rPr>
          <w:rFonts w:ascii="Geometr706 Md TL" w:hAnsi="Geometr706 Md TL"/>
          <w:sz w:val="20"/>
          <w:szCs w:val="20"/>
        </w:rPr>
      </w:pPr>
      <w:r w:rsidRPr="00FB7347">
        <w:rPr>
          <w:rFonts w:ascii="Geometr706 Md TL" w:hAnsi="Geometr706 Md TL"/>
          <w:sz w:val="20"/>
          <w:szCs w:val="20"/>
        </w:rPr>
        <w:t>2013. gadā PTAC ir saņēmis 83 administratīvo tiesu (vispārējās jurisdikcijas tiesu) nolēmumu (spriedumi un lēmumi), kas ir stājušies spēkā, t. sk. pārsūdzēti:</w:t>
      </w:r>
    </w:p>
    <w:p w:rsidR="00256E7F" w:rsidRPr="00FB7347" w:rsidRDefault="00256E7F" w:rsidP="00256E7F">
      <w:pPr>
        <w:pStyle w:val="Default"/>
        <w:ind w:right="41"/>
        <w:jc w:val="both"/>
        <w:rPr>
          <w:rFonts w:ascii="Geometr706 Md TL" w:hAnsi="Geometr706 Md TL"/>
          <w:sz w:val="20"/>
          <w:szCs w:val="20"/>
        </w:rPr>
      </w:pPr>
    </w:p>
    <w:p w:rsidR="00256E7F" w:rsidRPr="00FB7347" w:rsidRDefault="00256E7F" w:rsidP="00256E7F">
      <w:pPr>
        <w:pStyle w:val="ListParagraph"/>
        <w:widowControl/>
        <w:numPr>
          <w:ilvl w:val="0"/>
          <w:numId w:val="41"/>
        </w:numPr>
        <w:autoSpaceDE w:val="0"/>
        <w:autoSpaceDN w:val="0"/>
        <w:adjustRightInd/>
        <w:spacing w:line="240" w:lineRule="auto"/>
        <w:ind w:right="41"/>
        <w:textAlignment w:val="auto"/>
        <w:rPr>
          <w:rFonts w:ascii="Geometr706 Md TL" w:hAnsi="Geometr706 Md TL"/>
          <w:color w:val="000000"/>
          <w:sz w:val="20"/>
          <w:szCs w:val="20"/>
        </w:rPr>
      </w:pPr>
      <w:r w:rsidRPr="00FB7347">
        <w:rPr>
          <w:rFonts w:ascii="Geometr706 Md TL" w:hAnsi="Geometr706 Md TL"/>
          <w:color w:val="000000"/>
          <w:sz w:val="20"/>
          <w:szCs w:val="20"/>
        </w:rPr>
        <w:t>41 lēmums patērētāju tiesību aizsardzības jautājumos (t. sk. lēmumi komercprakses, reklāmas un e-komercijas uzraudzības lietās un lēmumi patērētāju kolektīvo interešu aizsardzības lietās);</w:t>
      </w:r>
    </w:p>
    <w:p w:rsidR="00256E7F" w:rsidRPr="00FB7347" w:rsidRDefault="00256E7F" w:rsidP="00256E7F">
      <w:pPr>
        <w:pStyle w:val="ListParagraph"/>
        <w:widowControl/>
        <w:numPr>
          <w:ilvl w:val="0"/>
          <w:numId w:val="41"/>
        </w:numPr>
        <w:autoSpaceDE w:val="0"/>
        <w:autoSpaceDN w:val="0"/>
        <w:adjustRightInd/>
        <w:spacing w:line="240" w:lineRule="auto"/>
        <w:ind w:right="41"/>
        <w:textAlignment w:val="auto"/>
        <w:rPr>
          <w:rFonts w:ascii="Geometr706 Md TL" w:hAnsi="Geometr706 Md TL"/>
          <w:color w:val="000000"/>
          <w:sz w:val="20"/>
          <w:szCs w:val="20"/>
        </w:rPr>
      </w:pPr>
      <w:r w:rsidRPr="00FB7347">
        <w:rPr>
          <w:rFonts w:ascii="Geometr706 Md TL" w:hAnsi="Geometr706 Md TL"/>
          <w:color w:val="000000"/>
          <w:sz w:val="20"/>
          <w:szCs w:val="20"/>
        </w:rPr>
        <w:t>15 lēmumu preču un pakalpojumu uzraudzības, tostarp tehniskās un metroloģiskās uzraudzības, jautājumos;</w:t>
      </w:r>
    </w:p>
    <w:p w:rsidR="00256E7F" w:rsidRPr="00FB7347" w:rsidRDefault="00256E7F" w:rsidP="00256E7F">
      <w:pPr>
        <w:pStyle w:val="ListParagraph"/>
        <w:widowControl/>
        <w:numPr>
          <w:ilvl w:val="0"/>
          <w:numId w:val="41"/>
        </w:numPr>
        <w:autoSpaceDE w:val="0"/>
        <w:autoSpaceDN w:val="0"/>
        <w:adjustRightInd/>
        <w:spacing w:line="240" w:lineRule="auto"/>
        <w:ind w:right="41"/>
        <w:textAlignment w:val="auto"/>
        <w:rPr>
          <w:rFonts w:ascii="Geometr706 Md TL" w:hAnsi="Geometr706 Md TL"/>
          <w:color w:val="000000"/>
          <w:sz w:val="20"/>
          <w:szCs w:val="20"/>
        </w:rPr>
      </w:pPr>
      <w:r w:rsidRPr="00FB7347">
        <w:rPr>
          <w:rFonts w:ascii="Geometr706 Md TL" w:hAnsi="Geometr706 Md TL"/>
          <w:color w:val="000000"/>
          <w:sz w:val="20"/>
          <w:szCs w:val="20"/>
        </w:rPr>
        <w:t>27 lēmumi patērētāju iesniegumu izskatīšanas lietās.</w:t>
      </w:r>
    </w:p>
    <w:p w:rsidR="00256E7F" w:rsidRPr="00256E7F" w:rsidRDefault="00256E7F" w:rsidP="00256E7F">
      <w:pPr>
        <w:autoSpaceDE w:val="0"/>
        <w:autoSpaceDN w:val="0"/>
        <w:spacing w:line="240" w:lineRule="auto"/>
        <w:ind w:right="41"/>
        <w:jc w:val="center"/>
        <w:rPr>
          <w:rFonts w:ascii="Geometr706 Md TL" w:hAnsi="Geometr706 Md TL"/>
          <w:color w:val="000000"/>
          <w:highlight w:val="yellow"/>
        </w:rPr>
      </w:pPr>
    </w:p>
    <w:p w:rsidR="00256E7F" w:rsidRPr="00256E7F" w:rsidRDefault="00256E7F" w:rsidP="00256E7F">
      <w:pPr>
        <w:pStyle w:val="Heading2"/>
        <w:spacing w:before="0" w:line="240" w:lineRule="auto"/>
        <w:jc w:val="center"/>
        <w:rPr>
          <w:rFonts w:ascii="Geometr706 Md TL" w:hAnsi="Geometr706 Md TL" w:cs="Times New Roman"/>
          <w:color w:val="auto"/>
          <w:sz w:val="28"/>
          <w:szCs w:val="28"/>
        </w:rPr>
      </w:pPr>
      <w:bookmarkStart w:id="86" w:name="_2.5._Pārskats_par"/>
      <w:bookmarkStart w:id="87" w:name="_Toc380143886"/>
      <w:bookmarkStart w:id="88" w:name="_Toc380147126"/>
      <w:bookmarkStart w:id="89" w:name="_Toc392836112"/>
      <w:bookmarkEnd w:id="86"/>
      <w:r w:rsidRPr="00256E7F">
        <w:rPr>
          <w:rFonts w:ascii="Geometr706 Md TL" w:hAnsi="Geometr706 Md TL" w:cs="Times New Roman"/>
          <w:color w:val="auto"/>
          <w:sz w:val="28"/>
          <w:szCs w:val="28"/>
        </w:rPr>
        <w:lastRenderedPageBreak/>
        <w:t>2.5. Pārskats par iestādes vadības un darbības uzlabošanas sistēmām efektīvas darbības nodrošināšanai, informācijai par uzlabojumiem pakalpojumu pieejamības un kvalitātes nodrošināšanā</w:t>
      </w:r>
      <w:bookmarkEnd w:id="87"/>
      <w:bookmarkEnd w:id="88"/>
      <w:bookmarkEnd w:id="89"/>
    </w:p>
    <w:p w:rsidR="00256E7F" w:rsidRPr="00256E7F" w:rsidRDefault="00256E7F" w:rsidP="00256E7F">
      <w:pPr>
        <w:spacing w:line="240" w:lineRule="auto"/>
        <w:rPr>
          <w:rFonts w:ascii="Geometr706 Md TL" w:hAnsi="Geometr706 Md TL"/>
        </w:rPr>
      </w:pP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Kvalitātes vadības sistēma PTAC tika ieviesta un sertificēta 2005. gadā saskaņā ar standarta ISO 9001:2000 prasībām, bet kopš 2010. gada septembra kvalitātes vadības sistēma ir sertificēta atbilstoši jaunā standarta ISO 9001:2008 „Kvalitātes vadības sistēma. Prasības” prasībām.</w: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PTAC ir sertificētas šādas darbības sfēras: patērētāju sūdzību un iesniegumu izskatīšana un patērētāju konsultēšana; preču un pakalpojumu uzraudzība; patērētāju kolektīvo interešu uzraudzība; administratīvo pārkāpumu lietu izskatīšana; patērētāju un uzņēmēju informēšana.</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Kvalitātes vadības sistēmas uzturēšana PTAC palīdz efektīvāk pildīt tam noteiktos uzdevumus, sasniegt izvirzītos mērķus un darbībā pieļauto kļūdu rezultātā analizēt to rašanās cēloņus, savlaicīgi novēršot kļūdu turpmāku atkārtošanos. PTAC 2013. gadā turpināja pilnveidot kvalitātes vadības sistēmu.</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2013. gada jūnijā notika PTAC kvalitātes sistēmas (KVS) uzraudzības audits. KVS auditu veica SIA „</w:t>
      </w:r>
      <w:proofErr w:type="spellStart"/>
      <w:r w:rsidRPr="00FB7347">
        <w:rPr>
          <w:rFonts w:ascii="Geometr706 Md TL" w:hAnsi="Geometr706 Md TL"/>
          <w:sz w:val="20"/>
          <w:szCs w:val="20"/>
        </w:rPr>
        <w:t>Bureau</w:t>
      </w:r>
      <w:proofErr w:type="spellEnd"/>
      <w:r w:rsidRPr="00FB7347">
        <w:rPr>
          <w:rFonts w:ascii="Geometr706 Md TL" w:hAnsi="Geometr706 Md TL"/>
          <w:sz w:val="20"/>
          <w:szCs w:val="20"/>
        </w:rPr>
        <w:t xml:space="preserve"> Veritas”.</w:t>
      </w:r>
      <w:r w:rsidRPr="00FB7347">
        <w:rPr>
          <w:rFonts w:ascii="Geometr706 Md TL" w:hAnsi="Geometr706 Md TL"/>
          <w:bCs/>
          <w:iCs/>
          <w:sz w:val="20"/>
          <w:szCs w:val="20"/>
        </w:rPr>
        <w:t xml:space="preserve"> Audita laikā netika konstatētas neatbilstības, bet auditori norādīja uz 12 novērojumiem (rekomendācijām) kvalitātes vadības sistēmas uzlabošanai un pilnveidei. </w:t>
      </w:r>
      <w:r w:rsidRPr="00FB7347">
        <w:rPr>
          <w:rFonts w:ascii="Geometr706 Md TL" w:hAnsi="Geometr706 Md TL"/>
          <w:sz w:val="20"/>
          <w:szCs w:val="20"/>
        </w:rPr>
        <w:t>Audita novērojumi bija saistīti galvenokārt ar pamatprocesu precizēšanu un kvalitātes dokumentācijas pilnveidošanu, kā arī auditori rekomendēja pievērst uzmanību klientu apmierinātības mērīšanas procesa efektivitātei un mērīšanas datu kvalitātei.</w:t>
      </w:r>
    </w:p>
    <w:p w:rsidR="00256E7F" w:rsidRPr="00FB7347" w:rsidRDefault="00256E7F" w:rsidP="00FB7347">
      <w:pPr>
        <w:jc w:val="both"/>
        <w:rPr>
          <w:rFonts w:ascii="Geometr706 Md TL" w:hAnsi="Geometr706 Md TL"/>
          <w:sz w:val="20"/>
          <w:szCs w:val="20"/>
        </w:rPr>
      </w:pPr>
      <w:bookmarkStart w:id="90" w:name="_3._Patērētāju_tiesību"/>
      <w:bookmarkEnd w:id="90"/>
    </w:p>
    <w:p w:rsidR="00FB7347" w:rsidRDefault="00FB7347">
      <w:pPr>
        <w:rPr>
          <w:rFonts w:ascii="Geometr706 Md TL" w:eastAsiaTheme="majorEastAsia" w:hAnsi="Geometr706 Md TL" w:cstheme="majorBidi"/>
          <w:b/>
          <w:bCs/>
          <w:noProof/>
          <w:color w:val="365F91" w:themeColor="accent1" w:themeShade="BF"/>
          <w:sz w:val="32"/>
          <w:szCs w:val="32"/>
        </w:rPr>
      </w:pPr>
      <w:bookmarkStart w:id="91" w:name="_Toc380143887"/>
      <w:bookmarkStart w:id="92" w:name="_Toc380147127"/>
      <w:r>
        <w:rPr>
          <w:rFonts w:ascii="Geometr706 Md TL" w:hAnsi="Geometr706 Md TL"/>
          <w:noProof/>
          <w:sz w:val="32"/>
          <w:szCs w:val="32"/>
        </w:rPr>
        <w:br w:type="page"/>
      </w:r>
    </w:p>
    <w:p w:rsidR="00256E7F" w:rsidRPr="00256E7F" w:rsidRDefault="00256E7F" w:rsidP="00FB7347">
      <w:pPr>
        <w:pStyle w:val="Heading1"/>
        <w:spacing w:after="240"/>
        <w:rPr>
          <w:rFonts w:ascii="Geometr706 Md TL" w:hAnsi="Geometr706 Md TL"/>
          <w:noProof/>
          <w:sz w:val="32"/>
          <w:szCs w:val="32"/>
        </w:rPr>
      </w:pPr>
      <w:bookmarkStart w:id="93" w:name="_Toc392836113"/>
      <w:r w:rsidRPr="00256E7F">
        <w:rPr>
          <w:rFonts w:ascii="Geometr706 Md TL" w:hAnsi="Geometr706 Md TL"/>
          <w:noProof/>
          <w:sz w:val="32"/>
          <w:szCs w:val="32"/>
        </w:rPr>
        <w:lastRenderedPageBreak/>
        <w:t>3. PTAC personāls</w:t>
      </w:r>
      <w:bookmarkEnd w:id="91"/>
      <w:bookmarkEnd w:id="92"/>
      <w:bookmarkEnd w:id="93"/>
    </w:p>
    <w:p w:rsidR="00256E7F" w:rsidRPr="00FB7347" w:rsidRDefault="00256E7F" w:rsidP="00FB7347">
      <w:pPr>
        <w:autoSpaceDE w:val="0"/>
        <w:autoSpaceDN w:val="0"/>
        <w:spacing w:line="240" w:lineRule="auto"/>
        <w:ind w:firstLine="720"/>
        <w:jc w:val="both"/>
        <w:rPr>
          <w:rFonts w:ascii="Geometr706 Md TL" w:eastAsia="TimesNewRoman" w:hAnsi="Geometr706 Md TL"/>
          <w:sz w:val="20"/>
          <w:szCs w:val="20"/>
        </w:rPr>
      </w:pPr>
      <w:r w:rsidRPr="00FB7347">
        <w:rPr>
          <w:rFonts w:ascii="Geometr706 Md TL" w:eastAsia="TimesNewRoman" w:hAnsi="Geometr706 Md TL"/>
          <w:sz w:val="20"/>
          <w:szCs w:val="20"/>
        </w:rPr>
        <w:t>2013. gadā vidējais iestādē nodarbināto skaits bija 83 darbinieki vecumā no 23 līdz 66 gadiem. 2013. gadā PTAC svinēja 15 gadu jubileju; ir jāpiemin, ka šobrīd iestādē strādā 9 darbinieki, kuri savas darba gaitas PTAC uzsākuši reizē ar tā dibināšanu.</w:t>
      </w:r>
    </w:p>
    <w:p w:rsidR="00256E7F" w:rsidRPr="00FB7347" w:rsidRDefault="00256E7F" w:rsidP="00FB7347">
      <w:pPr>
        <w:autoSpaceDE w:val="0"/>
        <w:autoSpaceDN w:val="0"/>
        <w:spacing w:line="240" w:lineRule="auto"/>
        <w:ind w:firstLine="720"/>
        <w:jc w:val="both"/>
        <w:rPr>
          <w:rFonts w:ascii="Geometr706 Md TL" w:eastAsia="TimesNewRoman" w:hAnsi="Geometr706 Md TL"/>
          <w:sz w:val="20"/>
          <w:szCs w:val="20"/>
        </w:rPr>
      </w:pPr>
      <w:r w:rsidRPr="00FB7347">
        <w:rPr>
          <w:rFonts w:ascii="Geometr706 Md TL" w:eastAsia="TimesNewRoman" w:hAnsi="Geometr706 Md TL"/>
          <w:sz w:val="20"/>
          <w:szCs w:val="20"/>
        </w:rPr>
        <w:t>70 % PTAC darbinieku nodarbinātības ilgums iestādē ir 5 gadi vai vairāk, un tas sekmē funkciju profesionālu izpildi. Darbinieku profesionalitāte ir ļāvusi sekmīgi veikt papildu funkciju, kura PTAC tika uzticēta 2013. gadā, – preču un pakalpojumu cenu paralēlās atspoguļošanas un konvertācijas prasību uzraudzība, pārejot uz eiro. 2013. gadā iestādē darbu uzsākuši 20 jauni darbinieki, turklāt vairāki no tiem atgriezušies darbā PTAC. Arī visas jaunās māmiņas pēc bērnu kopšanas atvaļinājuma atgriezušās darbā PTAC.</w:t>
      </w:r>
    </w:p>
    <w:p w:rsidR="00256E7F" w:rsidRPr="00FB7347" w:rsidRDefault="00256E7F" w:rsidP="00FB7347">
      <w:pPr>
        <w:autoSpaceDE w:val="0"/>
        <w:autoSpaceDN w:val="0"/>
        <w:spacing w:line="240" w:lineRule="auto"/>
        <w:ind w:firstLine="720"/>
        <w:jc w:val="both"/>
        <w:rPr>
          <w:rFonts w:ascii="Geometr706 Md TL" w:hAnsi="Geometr706 Md TL"/>
          <w:sz w:val="20"/>
          <w:szCs w:val="20"/>
        </w:rPr>
      </w:pPr>
      <w:r w:rsidRPr="00FB7347">
        <w:rPr>
          <w:rFonts w:ascii="Geometr706 Md TL" w:hAnsi="Geometr706 Md TL"/>
          <w:sz w:val="20"/>
          <w:szCs w:val="20"/>
        </w:rPr>
        <w:t xml:space="preserve">6 darbinieki joprojām turpina izglītības iegūšanu augstākajās mācību iestādēs, studējot maģistrantūrā, bet 2013. gadā 2 darbinieki to sekmīgi pabeiguši. PTAC ir rīkojis vairākas iekšējās mācības, palīdzot darbiniekiem apgūt novitātes, piemēram, alternatīvo strīdu risināšanas metodi </w:t>
      </w:r>
      <w:proofErr w:type="spellStart"/>
      <w:r w:rsidRPr="00FB7347">
        <w:rPr>
          <w:rFonts w:ascii="Geometr706 Md TL" w:hAnsi="Geometr706 Md TL"/>
          <w:sz w:val="20"/>
          <w:szCs w:val="20"/>
        </w:rPr>
        <w:t>mediāciju</w:t>
      </w:r>
      <w:proofErr w:type="spellEnd"/>
      <w:r w:rsidRPr="00FB7347">
        <w:rPr>
          <w:rFonts w:ascii="Geometr706 Md TL" w:hAnsi="Geometr706 Md TL"/>
          <w:sz w:val="20"/>
          <w:szCs w:val="20"/>
        </w:rPr>
        <w:t xml:space="preserve">. Darba kvalitāti uzlabot palīdzēs arī jaunā darbinieku darba izpildes novērtēšanas sistēma </w:t>
      </w:r>
      <w:r w:rsidRPr="00FB7347">
        <w:rPr>
          <w:rFonts w:ascii="Geometr706 Md TL" w:hAnsi="Geometr706 Md TL"/>
          <w:i/>
          <w:sz w:val="20"/>
          <w:szCs w:val="20"/>
        </w:rPr>
        <w:t>NEVIS</w:t>
      </w:r>
      <w:r w:rsidRPr="00FB7347">
        <w:rPr>
          <w:rFonts w:ascii="Geometr706 Md TL" w:hAnsi="Geometr706 Md TL"/>
          <w:sz w:val="20"/>
          <w:szCs w:val="20"/>
        </w:rPr>
        <w:t>, kura jau veiksmīgi darbojas.</w:t>
      </w:r>
    </w:p>
    <w:p w:rsidR="00256E7F" w:rsidRPr="00FB7347" w:rsidRDefault="00256E7F" w:rsidP="00FB7347">
      <w:pPr>
        <w:autoSpaceDE w:val="0"/>
        <w:autoSpaceDN w:val="0"/>
        <w:spacing w:line="240" w:lineRule="auto"/>
        <w:ind w:firstLine="720"/>
        <w:jc w:val="both"/>
        <w:rPr>
          <w:rFonts w:ascii="Geometr706 Md TL" w:eastAsia="TimesNewRoman" w:hAnsi="Geometr706 Md TL"/>
          <w:sz w:val="20"/>
          <w:szCs w:val="20"/>
        </w:rPr>
      </w:pPr>
      <w:r w:rsidRPr="00FB7347">
        <w:rPr>
          <w:rFonts w:ascii="Geometr706 Md TL" w:hAnsi="Geometr706 Md TL"/>
          <w:sz w:val="20"/>
          <w:szCs w:val="20"/>
        </w:rPr>
        <w:t>Ievērojamas pārmaiņas darbinieku ikdienā radījusi pārcelšanās uz jaunām telpām EM ēkā, kas dod iespēju ciešāk sadarboties ar EM darbiniekiem, kuri ir atbildīgi par politikas veidošanu PTAC uzraudzītajās jomās.</w:t>
      </w:r>
    </w:p>
    <w:p w:rsidR="00256E7F" w:rsidRPr="00256E7F" w:rsidRDefault="00256E7F" w:rsidP="00256E7F">
      <w:pPr>
        <w:autoSpaceDE w:val="0"/>
        <w:autoSpaceDN w:val="0"/>
        <w:spacing w:line="240" w:lineRule="auto"/>
        <w:ind w:firstLine="720"/>
        <w:rPr>
          <w:rFonts w:ascii="Geometr706 Md TL" w:hAnsi="Geometr706 Md TL"/>
        </w:rPr>
      </w:pPr>
    </w:p>
    <w:p w:rsidR="00256E7F" w:rsidRPr="00256E7F" w:rsidRDefault="00256E7F" w:rsidP="00256E7F">
      <w:pPr>
        <w:pStyle w:val="Heading1"/>
        <w:spacing w:line="360" w:lineRule="auto"/>
        <w:rPr>
          <w:rFonts w:ascii="Geometr706 Md TL" w:hAnsi="Geometr706 Md TL"/>
          <w:sz w:val="32"/>
          <w:szCs w:val="32"/>
        </w:rPr>
      </w:pPr>
      <w:bookmarkStart w:id="94" w:name="_4._Komunikācija_ar"/>
      <w:bookmarkStart w:id="95" w:name="_Toc380143888"/>
      <w:bookmarkStart w:id="96" w:name="_Toc380147128"/>
      <w:bookmarkStart w:id="97" w:name="_Toc392836114"/>
      <w:bookmarkEnd w:id="94"/>
      <w:r w:rsidRPr="00256E7F">
        <w:rPr>
          <w:rFonts w:ascii="Geometr706 Md TL" w:hAnsi="Geometr706 Md TL"/>
          <w:sz w:val="32"/>
          <w:szCs w:val="32"/>
        </w:rPr>
        <w:t>4. Komunikācija ar sabiedrību</w:t>
      </w:r>
      <w:bookmarkEnd w:id="95"/>
      <w:bookmarkEnd w:id="96"/>
      <w:bookmarkEnd w:id="97"/>
    </w:p>
    <w:p w:rsidR="00256E7F" w:rsidRPr="00256E7F" w:rsidRDefault="00256E7F" w:rsidP="00256E7F">
      <w:pPr>
        <w:pStyle w:val="Heading2"/>
        <w:spacing w:before="0" w:line="360" w:lineRule="auto"/>
        <w:ind w:left="502"/>
        <w:jc w:val="center"/>
        <w:rPr>
          <w:rFonts w:ascii="Geometr706 Md TL" w:hAnsi="Geometr706 Md TL"/>
          <w:noProof/>
          <w:color w:val="auto"/>
          <w:sz w:val="28"/>
          <w:szCs w:val="28"/>
          <w:lang w:eastAsia="en-US"/>
        </w:rPr>
      </w:pPr>
      <w:bookmarkStart w:id="98" w:name="_4.1._Pasākumi,_kas"/>
      <w:bookmarkStart w:id="99" w:name="_Toc380143889"/>
      <w:bookmarkStart w:id="100" w:name="_Toc380147129"/>
      <w:bookmarkStart w:id="101" w:name="_Toc392836115"/>
      <w:bookmarkEnd w:id="98"/>
      <w:r w:rsidRPr="00256E7F">
        <w:rPr>
          <w:rFonts w:ascii="Geometr706 Md TL" w:hAnsi="Geometr706 Md TL"/>
          <w:noProof/>
          <w:color w:val="auto"/>
          <w:sz w:val="28"/>
          <w:szCs w:val="28"/>
          <w:lang w:eastAsia="en-US"/>
        </w:rPr>
        <w:t>4.1. </w:t>
      </w:r>
      <w:bookmarkEnd w:id="99"/>
      <w:bookmarkEnd w:id="100"/>
      <w:r w:rsidRPr="00256E7F">
        <w:rPr>
          <w:rFonts w:ascii="Geometr706 Md TL" w:hAnsi="Geometr706 Md TL"/>
          <w:noProof/>
          <w:color w:val="auto"/>
          <w:sz w:val="28"/>
          <w:szCs w:val="28"/>
          <w:lang w:eastAsia="en-US"/>
        </w:rPr>
        <w:t>Sabiedrības informēšanas un izglītošanas pasākumi</w:t>
      </w:r>
      <w:bookmarkEnd w:id="101"/>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PTAC pārskata periodā ir sniedzis 335 ziņojumus – intervijas, komentārus, viedokļus – plašsaziņas līdzekļiem. PTAC pārstāvji snieguši komentārus un viedokļus 130 reižu</w:t>
      </w:r>
      <w:r w:rsidRPr="00FB7347">
        <w:rPr>
          <w:rFonts w:ascii="Geometr706 Md TL" w:eastAsia="TimesNewRoman" w:hAnsi="Geometr706 Md TL"/>
          <w:sz w:val="20"/>
          <w:szCs w:val="20"/>
        </w:rPr>
        <w:t xml:space="preserve"> </w:t>
      </w:r>
      <w:r w:rsidRPr="00FB7347">
        <w:rPr>
          <w:rFonts w:ascii="Geometr706 Md TL" w:hAnsi="Geometr706 Md TL"/>
          <w:sz w:val="20"/>
          <w:szCs w:val="20"/>
        </w:rPr>
        <w:t>televīzijas raidījumiem un ziņām, 96 reizes</w:t>
      </w:r>
      <w:r w:rsidRPr="00FB7347">
        <w:rPr>
          <w:rFonts w:ascii="Geometr706 Md TL" w:eastAsia="TimesNewRoman" w:hAnsi="Geometr706 Md TL"/>
          <w:sz w:val="20"/>
          <w:szCs w:val="20"/>
        </w:rPr>
        <w:t xml:space="preserve"> </w:t>
      </w:r>
      <w:r w:rsidRPr="00FB7347">
        <w:rPr>
          <w:rFonts w:ascii="Geometr706 Md TL" w:hAnsi="Geometr706 Md TL"/>
          <w:sz w:val="20"/>
          <w:szCs w:val="20"/>
        </w:rPr>
        <w:t>laikrakstiem un žurnāliem, 49 reizes</w:t>
      </w:r>
      <w:r w:rsidRPr="00FB7347">
        <w:rPr>
          <w:rFonts w:ascii="Geometr706 Md TL" w:eastAsia="TimesNewRoman" w:hAnsi="Geometr706 Md TL"/>
          <w:sz w:val="20"/>
          <w:szCs w:val="20"/>
        </w:rPr>
        <w:t xml:space="preserve"> </w:t>
      </w:r>
      <w:r w:rsidRPr="00FB7347">
        <w:rPr>
          <w:rFonts w:ascii="Geometr706 Md TL" w:hAnsi="Geometr706 Md TL"/>
          <w:sz w:val="20"/>
          <w:szCs w:val="20"/>
        </w:rPr>
        <w:t>interneta ziņu portāliem, 41 reizi radio raidījumiem un ziņām, 19 reižu</w:t>
      </w:r>
      <w:r w:rsidRPr="00FB7347">
        <w:rPr>
          <w:rFonts w:ascii="Geometr706 Md TL" w:eastAsia="TimesNewRoman" w:hAnsi="Geometr706 Md TL"/>
          <w:sz w:val="20"/>
          <w:szCs w:val="20"/>
        </w:rPr>
        <w:t xml:space="preserve"> </w:t>
      </w:r>
      <w:r w:rsidRPr="00FB7347">
        <w:rPr>
          <w:rFonts w:ascii="Geometr706 Md TL" w:hAnsi="Geometr706 Md TL"/>
          <w:sz w:val="20"/>
          <w:szCs w:val="20"/>
        </w:rPr>
        <w:t>ziņu aģentūrām. Aktuālākās tēmas: nebanku kreditēšana, it īpaši ātrie kredīti, ārpustiesas parādu atgūšanas pakalpojumu sniedzēju licencēšana, eiro ieviešana un cenu uzraudzības kārtība paralēlās cenu atspoguļošanas periodā, PTAC pieņemtie lēmumi, slēpošanas trases un to drošums, aviopasažieru tiesības, kolektīvās iepirkšanās (kuponu) portāli, distances līgumi, tūrisma pakalpojumi, preču un pakalpojumu drošums, bērnu rotaļu laukumu drošums u. c.</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Tika sagatavotas un publicētas 68 preses relīzes par PTAC īstenoto uzraudzības projektu rezultātiem, PTAC pieņemtajiem lēmumiem, patērētāju sūdzību statistiku, parādu atgūšanas pakalpojumu sniedzēju licencēšanu, nebanku kreditēšanu, nedrošām precēm, padomiem patērētājiem, brīdinājumiem patērētājiem par negodīgu komercpraksi, PTAC izstrādātajām vadlīnijām, preču un pakalpojumu cenu norādīšanas kārtību, pārejot uz eiro, un plānotajiem uzraudzības pasākumiem u. c. Papildus PTAC mājaslapā tika pārpublicēta citu institūciju (EK, EM, Finanšu un kapitāla tirgus komisijas u. c.) medijiem sagatavotā informācija par patērētāju interešu aizsardzības jomu.</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 xml:space="preserve">2013. gadā tika organizētas trīs preses konferences </w:t>
      </w:r>
      <w:r w:rsidRPr="003179A2">
        <w:rPr>
          <w:rFonts w:ascii="Geometr706 Md TL" w:hAnsi="Geometr706 Md TL"/>
          <w:sz w:val="20"/>
          <w:szCs w:val="20"/>
        </w:rPr>
        <w:t>un vienas mediju brokastis</w:t>
      </w:r>
      <w:r w:rsidRPr="00FB7347">
        <w:rPr>
          <w:rFonts w:ascii="Geometr706 Md TL" w:hAnsi="Geometr706 Md TL"/>
          <w:sz w:val="20"/>
          <w:szCs w:val="20"/>
        </w:rPr>
        <w:t xml:space="preserve">. Gada pirmajos mēnešos īpaši aktuāls temats bija ātrie kredīti, kā rezultātā sadarbībā </w:t>
      </w:r>
      <w:r w:rsidRPr="00FB7347">
        <w:rPr>
          <w:rFonts w:ascii="Geometr706 Md TL" w:hAnsi="Geometr706 Md TL"/>
          <w:sz w:val="20"/>
          <w:szCs w:val="20"/>
        </w:rPr>
        <w:lastRenderedPageBreak/>
        <w:t xml:space="preserve">ar EM tika organizēta preses konference par situāciju ātro kredītu nozarē, publicēta informācija PTAC mājaslapā, sagatavotas atbildes uz masu mediju jautājumiem. Mediju brokastīs tika prezentētas PTAC izstrādātās bērnu rotaļu laukumu drošuma prasību vadlīnijas; informācija (publicētas vadlīnijas, sagatavotas atbildes) tika ievietota arī mājaslapā, sniegti komentāri masu medijiem. Tuvojoties eiro ieviešanai Latvijā un paralēlās cenu atspoguļošanas periodam, PTAC organizēja divas preses konferences, lai informētu par uzraudzības pasākumiem un to rezultātiem un sadarbību ar citām organizācijām pārbaužu veikšanā. Papildus PTAC pārstāvji ir piedalījušies citu organizētajos medijiem adresētajos pasākumos, tostarp Latvijas Ātro </w:t>
      </w:r>
      <w:proofErr w:type="spellStart"/>
      <w:r w:rsidRPr="00FB7347">
        <w:rPr>
          <w:rFonts w:ascii="Geometr706 Md TL" w:hAnsi="Geometr706 Md TL"/>
          <w:sz w:val="20"/>
          <w:szCs w:val="20"/>
        </w:rPr>
        <w:t>kredītdevēju</w:t>
      </w:r>
      <w:proofErr w:type="spellEnd"/>
      <w:r w:rsidRPr="00FB7347">
        <w:rPr>
          <w:rFonts w:ascii="Geometr706 Md TL" w:hAnsi="Geometr706 Md TL"/>
          <w:sz w:val="20"/>
          <w:szCs w:val="20"/>
        </w:rPr>
        <w:t xml:space="preserve"> asociācijas kampaņas „Aizņemies atbildīgi” ietvaros organizētajos pasākumos.</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 xml:space="preserve">PTAC kā sadarbības partneris 2013. gada martā piedalījās VARAM organizētajā kampaņā „E-prasmju nedēļa 2013”, kur PTAC piedalījās interneta tiešraidē „Digitālais piedzīvojums” ar tēmu „Kas jāzina, iepērkoties kolektīvās iepirkšanās mājaslapās?” un sniedza informatīvo atbalstu, izplatot informāciju par nedēļas ietvaros plānotajiem pasākumiem. 2013. gada pirmajā pusgadā PTAC piedalījās Finanšu un kapitāla tirgus komisijas organizētajā kampaņā „Finanšu izglītības nedēļa” un Eiropas pārstāvniecības Latvijā un Kultūras ministrijas organizētajā Eiropas Pilsoņu gada atklāšanas pasākumā, kas tika organizēts tieši Starptautiskajā patērētāju tiesību dienā 15. martā. Lai samazinātu bezatbildīgas aizņemšanās riskus, 2013. gada jūnijā PTAC informatīvi atbalstīja </w:t>
      </w:r>
      <w:r w:rsidRPr="00FB7347">
        <w:rPr>
          <w:rFonts w:ascii="Geometr706 Md TL" w:hAnsi="Geometr706 Md TL"/>
          <w:bCs/>
          <w:sz w:val="20"/>
          <w:szCs w:val="20"/>
        </w:rPr>
        <w:t xml:space="preserve">Latvijas </w:t>
      </w:r>
      <w:proofErr w:type="spellStart"/>
      <w:r w:rsidRPr="00FB7347">
        <w:rPr>
          <w:rFonts w:ascii="Geometr706 Md TL" w:hAnsi="Geometr706 Md TL"/>
          <w:bCs/>
          <w:sz w:val="20"/>
          <w:szCs w:val="20"/>
        </w:rPr>
        <w:t>Nebanku</w:t>
      </w:r>
      <w:proofErr w:type="spellEnd"/>
      <w:r w:rsidRPr="00FB7347">
        <w:rPr>
          <w:rFonts w:ascii="Geometr706 Md TL" w:hAnsi="Geometr706 Md TL"/>
          <w:bCs/>
          <w:sz w:val="20"/>
          <w:szCs w:val="20"/>
        </w:rPr>
        <w:t xml:space="preserve"> </w:t>
      </w:r>
      <w:proofErr w:type="spellStart"/>
      <w:r w:rsidRPr="00FB7347">
        <w:rPr>
          <w:rFonts w:ascii="Geometr706 Md TL" w:hAnsi="Geometr706 Md TL"/>
          <w:bCs/>
          <w:sz w:val="20"/>
          <w:szCs w:val="20"/>
        </w:rPr>
        <w:t>kredītdevēju</w:t>
      </w:r>
      <w:proofErr w:type="spellEnd"/>
      <w:r w:rsidRPr="00FB7347">
        <w:rPr>
          <w:rFonts w:ascii="Geometr706 Md TL" w:hAnsi="Geometr706 Md TL"/>
          <w:bCs/>
          <w:sz w:val="20"/>
          <w:szCs w:val="20"/>
        </w:rPr>
        <w:t xml:space="preserve"> asociācijas īstenoto izglītojošo kampaņu „Aizņemies prātīgi!”.</w:t>
      </w:r>
      <w:r w:rsidRPr="00FB7347">
        <w:rPr>
          <w:rFonts w:ascii="Geometr706 Md TL" w:hAnsi="Geometr706 Md TL"/>
          <w:sz w:val="20"/>
          <w:szCs w:val="20"/>
        </w:rPr>
        <w:t xml:space="preserve"> Akcijas „Atpakaļ uz skolu” ietvaros PTAC darbinieki vairākās Latvijas skolās informēja skolē</w:t>
      </w:r>
      <w:r w:rsidR="00FB7347">
        <w:rPr>
          <w:rFonts w:ascii="Geometr706 Md TL" w:hAnsi="Geometr706 Md TL"/>
          <w:sz w:val="20"/>
          <w:szCs w:val="20"/>
        </w:rPr>
        <w:t>nus par patērētāju tiesībām ES.</w:t>
      </w:r>
    </w:p>
    <w:p w:rsidR="00256E7F" w:rsidRPr="00256E7F" w:rsidRDefault="00256E7F" w:rsidP="00256E7F">
      <w:pPr>
        <w:spacing w:line="240" w:lineRule="auto"/>
        <w:jc w:val="center"/>
        <w:rPr>
          <w:rFonts w:ascii="Geometr706 Md TL" w:hAnsi="Geometr706 Md TL"/>
          <w:b/>
          <w:bCs/>
        </w:rPr>
      </w:pPr>
      <w:r w:rsidRPr="00256E7F">
        <w:rPr>
          <w:rFonts w:ascii="Geometr706 Md TL" w:hAnsi="Geometr706 Md TL"/>
          <w:noProof/>
          <w:lang w:eastAsia="lv-LV"/>
        </w:rPr>
        <w:drawing>
          <wp:inline distT="0" distB="0" distL="0" distR="0" wp14:anchorId="4E2DC453" wp14:editId="4CD187F5">
            <wp:extent cx="3713018" cy="2927443"/>
            <wp:effectExtent l="0" t="0" r="1905" b="6350"/>
            <wp:docPr id="21" name="Picture 21" descr="C:\Users\ZundeI\Desktop\Aviodiena 2013\DSC04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undeI\Desktop\Aviodiena 2013\DSC04689.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14014" cy="2928229"/>
                    </a:xfrm>
                    <a:prstGeom prst="rect">
                      <a:avLst/>
                    </a:prstGeom>
                    <a:noFill/>
                    <a:ln>
                      <a:noFill/>
                    </a:ln>
                  </pic:spPr>
                </pic:pic>
              </a:graphicData>
            </a:graphic>
          </wp:inline>
        </w:drawing>
      </w:r>
    </w:p>
    <w:p w:rsidR="00256E7F" w:rsidRPr="00256E7F" w:rsidRDefault="00256E7F" w:rsidP="00256E7F">
      <w:pPr>
        <w:spacing w:line="240" w:lineRule="auto"/>
        <w:jc w:val="center"/>
        <w:rPr>
          <w:rFonts w:ascii="Geometr706 Md TL" w:hAnsi="Geometr706 Md TL"/>
          <w:b/>
          <w:bCs/>
          <w:i/>
        </w:rPr>
      </w:pPr>
      <w:r w:rsidRPr="00256E7F">
        <w:rPr>
          <w:rFonts w:ascii="Geometr706 Md TL" w:hAnsi="Geometr706 Md TL"/>
          <w:b/>
          <w:bCs/>
          <w:i/>
        </w:rPr>
        <w:t>04.07.2013. Aviopasažieru tiesību diena 2013 – kampaņa „Zini un ceļo!”.</w:t>
      </w:r>
    </w:p>
    <w:p w:rsidR="00256E7F" w:rsidRPr="00256E7F" w:rsidRDefault="00256E7F" w:rsidP="00256E7F">
      <w:pPr>
        <w:spacing w:line="240" w:lineRule="auto"/>
        <w:jc w:val="center"/>
        <w:rPr>
          <w:rFonts w:ascii="Geometr706 Md TL" w:hAnsi="Geometr706 Md TL"/>
          <w:b/>
          <w:bCs/>
          <w:i/>
        </w:rPr>
      </w:pPr>
      <w:r w:rsidRPr="00256E7F">
        <w:rPr>
          <w:rFonts w:ascii="Geometr706 Md TL" w:hAnsi="Geometr706 Md TL"/>
          <w:b/>
          <w:bCs/>
          <w:i/>
        </w:rPr>
        <w:t xml:space="preserve">PTAC un ECC </w:t>
      </w:r>
      <w:proofErr w:type="spellStart"/>
      <w:r w:rsidRPr="00256E7F">
        <w:rPr>
          <w:rFonts w:ascii="Geometr706 Md TL" w:hAnsi="Geometr706 Md TL"/>
          <w:b/>
          <w:bCs/>
          <w:i/>
        </w:rPr>
        <w:t>Latvia</w:t>
      </w:r>
      <w:proofErr w:type="spellEnd"/>
      <w:r w:rsidRPr="00256E7F">
        <w:rPr>
          <w:rFonts w:ascii="Geometr706 Md TL" w:hAnsi="Geometr706 Md TL"/>
          <w:b/>
          <w:bCs/>
          <w:i/>
        </w:rPr>
        <w:t xml:space="preserve"> darbinieki</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 xml:space="preserve">PTAC sniedza atbalstu arī </w:t>
      </w:r>
      <w:r w:rsidRPr="00FB7347">
        <w:rPr>
          <w:rFonts w:ascii="Geometr706 Md TL" w:hAnsi="Geometr706 Md TL"/>
          <w:i/>
          <w:sz w:val="20"/>
          <w:szCs w:val="20"/>
        </w:rPr>
        <w:t xml:space="preserve">ECC </w:t>
      </w:r>
      <w:proofErr w:type="spellStart"/>
      <w:r w:rsidRPr="00FB7347">
        <w:rPr>
          <w:rFonts w:ascii="Geometr706 Md TL" w:hAnsi="Geometr706 Md TL"/>
          <w:i/>
          <w:sz w:val="20"/>
          <w:szCs w:val="20"/>
        </w:rPr>
        <w:t>Latvia</w:t>
      </w:r>
      <w:proofErr w:type="spellEnd"/>
      <w:r w:rsidRPr="00FB7347">
        <w:rPr>
          <w:rFonts w:ascii="Geometr706 Md TL" w:hAnsi="Geometr706 Md TL"/>
          <w:sz w:val="20"/>
          <w:szCs w:val="20"/>
        </w:rPr>
        <w:t xml:space="preserve"> rīkotajā vienas dienas kampaņā „Zini un ceļo!”, kas norisinājās starptautiskajā lidostā „Rīga”. Pasākuma laikā sabiedrība tika informēta par aviopasažieru un ceļotāju tiesībām, lidostas apmeklētāji tika aptaujāti par aktuālajām patērētāju problēmām, iegādājoties tūrisma pakalpojumus un ceļojot, pasākuma ietvaros apmeklētājiem tika izplatīti informatīvie materiāli un organizēti konkursi, kur patērētāji varēja papildināt savas zināšanas par savām tiesībām un iegūt pārsteiguma balvas.</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lastRenderedPageBreak/>
        <w:t>Sabiedrības informēšanai aktīvi tiek izmantota PTAC mājaslapa. 2013. gadā PTAC mājaslapas lapu skatījumu skaits sasniedzis 659 199 (2012. gadā – 595 197, pieaugums – 10 %), kopumā mājaslapa apmeklēta 236 752 reizes (2012. gadā – 198 095, pieaugums – 16 %) un unikālo apmeklētāju skaits sasniedzis 142 114 (2012. gadā – 115 193, pieaugums – 19 %), kas liecina par plašo mājaslapas popularitāti, līdz ar to arī par patērētāju (komersantu) interesi par aktuālāko PTAC informāciju un vēlmi to uzzināt. Visbiežāk mājaslapas apmeklētāji skatījuši sadaļu par patērētājam nedraudzīgiem uzņēmumiem, normatīvo resursu sarakstu, informāciju par patērētāja tiesībām (ja ir iegādājušies līguma noteikumiem neatbilstošu preci vai pakalpojumu), PTAC pieņemto lēmumu sadaļu, veidlapu (paraugu) sadaļu, aktualitātes (ziņas), skatīti arī licencētie patērētāju kreditēšanas pakalpojumu sniedzēji.</w:t>
      </w:r>
    </w:p>
    <w:p w:rsidR="00256E7F" w:rsidRPr="00FB7347" w:rsidRDefault="00256E7F" w:rsidP="00FB7347">
      <w:pPr>
        <w:spacing w:line="240" w:lineRule="auto"/>
        <w:ind w:firstLine="709"/>
        <w:jc w:val="both"/>
        <w:rPr>
          <w:rFonts w:ascii="Geometr706 Md TL" w:hAnsi="Geometr706 Md TL"/>
          <w:sz w:val="20"/>
          <w:szCs w:val="20"/>
        </w:rPr>
      </w:pPr>
      <w:r w:rsidRPr="00FB7347">
        <w:rPr>
          <w:rFonts w:ascii="Geometr706 Md TL" w:hAnsi="Geometr706 Md TL"/>
          <w:sz w:val="20"/>
          <w:szCs w:val="20"/>
        </w:rPr>
        <w:t>Pārskata periodā PTAC mājaslapā tika papildināta informācija patērētājiem. Tika sagatavoti un ievietoti padomi par iepirkšanos kolektīvās iepirkšanās (kuponu) portālos, par pasažieru tiesībām, ceļojot pa jūru un iekšzemes ūdensceļiem, papildināta informācija patērētājiem par sliekšņa tirdzniecību, kā arī ievietota informācija ar padomiem patērētājiem, iegādājoties un lietojot peldlīdzekļus, un padomi, iegādājoties digitālā satura produktus. Komersantu informēšanai un izglītošanai mājaslapā tika izveidota sadaļa par parādu ārpustiesas atgūšanu. Mājaslapā tika izveidota arī jauna sadaļa „Eiro ieviešana Latvijā”, kur ievietota būtiskākā informācija par cenu uzraudzību cenu paralēlās atspoguļošanas periodā, iniciatīvu „Godīgs eiro ieviesējs”, iespējām patērētājiem ziņot par novērotajiem pārkāpumiem un saņemt informāciju par cenu norādīšanas jautājumiem, un jauna sadaļa „Lēmumi par eiro cenu norādīšanu”. Mājaslapā tika publicētas arī aktuālākās PTAC izstrādātās vadlīnijas, piemēram, patērētāju spējas atmaksāt kredītu novērtēšanai, godīgas komercprakses īstenošanai patērētāju kreditēšanas jomā, godīgas komercprakses īstenošanai kolektīvās iepirkšanās jomā, preču un pakalpojumu cenu norādīšanas kārtībai cenu paralēlās atspoguļošanas periodā u. c. PTAC mājaslapā tika izveidotas arī divas jaunas datubāzes: parāda atgūšanas pakalpojuma sniedzēju, kuri saņēmuši speciālo atļauju (licenci) parāda atgūšanas pakalpojuma sniegšanai, saraksts; BIR reģistrēto sašķidrinātās naftas gāzes balonu uzpildes staciju saraksts.</w:t>
      </w:r>
    </w:p>
    <w:p w:rsidR="00256E7F" w:rsidRPr="00FB7347" w:rsidRDefault="00256E7F" w:rsidP="00FB7347">
      <w:pPr>
        <w:spacing w:line="240" w:lineRule="auto"/>
        <w:ind w:firstLine="709"/>
        <w:jc w:val="both"/>
        <w:rPr>
          <w:rFonts w:ascii="Geometr706 Md TL" w:hAnsi="Geometr706 Md TL"/>
          <w:b/>
          <w:sz w:val="20"/>
          <w:szCs w:val="20"/>
        </w:rPr>
      </w:pPr>
      <w:r w:rsidRPr="00FB7347">
        <w:rPr>
          <w:rFonts w:ascii="Geometr706 Md TL" w:hAnsi="Geometr706 Md TL"/>
          <w:sz w:val="20"/>
          <w:szCs w:val="20"/>
        </w:rPr>
        <w:t>Komunikācijai ar sabiedrību kopš 2012. gada aktīvi tiek izmantots iestādes izveidotais sociālā tīkla „</w:t>
      </w:r>
      <w:proofErr w:type="spellStart"/>
      <w:r w:rsidRPr="00FB7347">
        <w:rPr>
          <w:rFonts w:ascii="Geometr706 Md TL" w:hAnsi="Geometr706 Md TL"/>
          <w:sz w:val="20"/>
          <w:szCs w:val="20"/>
        </w:rPr>
        <w:t>Twitter</w:t>
      </w:r>
      <w:proofErr w:type="spellEnd"/>
      <w:r w:rsidRPr="00FB7347">
        <w:rPr>
          <w:rFonts w:ascii="Geometr706 Md TL" w:hAnsi="Geometr706 Md TL"/>
          <w:sz w:val="20"/>
          <w:szCs w:val="20"/>
        </w:rPr>
        <w:t>” konts, kur tiek sniegta informācija par PTAC jaunumiem un citiem patērētājiem aktuāliem notikumiem. Šobrīd iestādes kontam pievienojušies 623 sekotāji, kopš 2012. gada nogales sekotāju skaits palielinājies par 364 sekotājiem jeb pieaudzis par 58 %. 2013. gadā PTAC veicis aptuveni 350 ierakstu (šobrīd kopumā sociālajā tīklā „</w:t>
      </w:r>
      <w:proofErr w:type="spellStart"/>
      <w:r w:rsidRPr="00FB7347">
        <w:rPr>
          <w:rFonts w:ascii="Geometr706 Md TL" w:hAnsi="Geometr706 Md TL"/>
          <w:sz w:val="20"/>
          <w:szCs w:val="20"/>
        </w:rPr>
        <w:t>Twitter</w:t>
      </w:r>
      <w:proofErr w:type="spellEnd"/>
      <w:r w:rsidRPr="00FB7347">
        <w:rPr>
          <w:rFonts w:ascii="Geometr706 Md TL" w:hAnsi="Geometr706 Md TL"/>
          <w:sz w:val="20"/>
          <w:szCs w:val="20"/>
        </w:rPr>
        <w:t>” ir vairāk nekā 600 PTAC ierakstu). Svinot Starptautisko patērētāju dienu, PTAC sociālajā tīklā „</w:t>
      </w:r>
      <w:proofErr w:type="spellStart"/>
      <w:r w:rsidRPr="00FB7347">
        <w:rPr>
          <w:rFonts w:ascii="Geometr706 Md TL" w:hAnsi="Geometr706 Md TL"/>
          <w:sz w:val="20"/>
          <w:szCs w:val="20"/>
        </w:rPr>
        <w:t>Twitter</w:t>
      </w:r>
      <w:proofErr w:type="spellEnd"/>
      <w:r w:rsidRPr="00FB7347">
        <w:rPr>
          <w:rFonts w:ascii="Geometr706 Md TL" w:hAnsi="Geometr706 Md TL"/>
          <w:sz w:val="20"/>
          <w:szCs w:val="20"/>
        </w:rPr>
        <w:t>” veica nelielu kampaņu – aicināja sekotājus apstiprināt, ka viņi apzinās savas patērētāja tiesības, un uzlikt uz savas „</w:t>
      </w:r>
      <w:proofErr w:type="spellStart"/>
      <w:r w:rsidRPr="00FB7347">
        <w:rPr>
          <w:rFonts w:ascii="Geometr706 Md TL" w:hAnsi="Geometr706 Md TL"/>
          <w:sz w:val="20"/>
          <w:szCs w:val="20"/>
        </w:rPr>
        <w:t>Twitter</w:t>
      </w:r>
      <w:proofErr w:type="spellEnd"/>
      <w:r w:rsidRPr="00FB7347">
        <w:rPr>
          <w:rFonts w:ascii="Geometr706 Md TL" w:hAnsi="Geometr706 Md TL"/>
          <w:sz w:val="20"/>
          <w:szCs w:val="20"/>
        </w:rPr>
        <w:t>” bildes īpaši sagatavotu simbolu (iepirkumu maisiņu PTAC logo krāsās). PTAC savam četrsimtajam un sešsimtajam sekotājam dāvināja pārsteiguma balvu. PTAC „</w:t>
      </w:r>
      <w:proofErr w:type="spellStart"/>
      <w:r w:rsidRPr="00FB7347">
        <w:rPr>
          <w:rFonts w:ascii="Geometr706 Md TL" w:hAnsi="Geometr706 Md TL"/>
          <w:sz w:val="20"/>
          <w:szCs w:val="20"/>
        </w:rPr>
        <w:t>Twitter</w:t>
      </w:r>
      <w:proofErr w:type="spellEnd"/>
      <w:r w:rsidRPr="00FB7347">
        <w:rPr>
          <w:rFonts w:ascii="Geometr706 Md TL" w:hAnsi="Geometr706 Md TL"/>
          <w:sz w:val="20"/>
          <w:szCs w:val="20"/>
        </w:rPr>
        <w:t>” kontā katru piektdienu tika publicēta PTAC darbinieka spārnotā frāze, kas guva atsaucību konta sekotāju vidū. Kopumā tiek stratēģiski strādāts, lai palielinātu sekotāju un ierakstu skaitu, kā arī nodrošinātu atgriezenisko saiti, piemēram: ja kāds patērētājs vai komersants, izmantojot savu „</w:t>
      </w:r>
      <w:proofErr w:type="spellStart"/>
      <w:r w:rsidRPr="00FB7347">
        <w:rPr>
          <w:rFonts w:ascii="Geometr706 Md TL" w:hAnsi="Geometr706 Md TL"/>
          <w:sz w:val="20"/>
          <w:szCs w:val="20"/>
        </w:rPr>
        <w:t>Twitter</w:t>
      </w:r>
      <w:proofErr w:type="spellEnd"/>
      <w:r w:rsidRPr="00FB7347">
        <w:rPr>
          <w:rFonts w:ascii="Geometr706 Md TL" w:hAnsi="Geometr706 Md TL"/>
          <w:sz w:val="20"/>
          <w:szCs w:val="20"/>
        </w:rPr>
        <w:t>” profilu, uzdod PTAC jautājumus, iespēju robežās uz šiem jautājumiem tiek atbildēts.</w:t>
      </w:r>
    </w:p>
    <w:p w:rsidR="00256E7F" w:rsidRPr="00256E7F" w:rsidRDefault="00256E7F" w:rsidP="00256E7F">
      <w:pPr>
        <w:spacing w:line="240" w:lineRule="auto"/>
        <w:rPr>
          <w:rFonts w:ascii="Geometr706 Md TL" w:eastAsiaTheme="minorEastAsia" w:hAnsi="Geometr706 Md TL"/>
        </w:rPr>
      </w:pPr>
    </w:p>
    <w:p w:rsidR="003179A2" w:rsidRDefault="003179A2">
      <w:pPr>
        <w:rPr>
          <w:rFonts w:ascii="Geometr706 Md TL" w:eastAsiaTheme="majorEastAsia" w:hAnsi="Geometr706 Md TL" w:cstheme="majorBidi"/>
          <w:b/>
          <w:bCs/>
          <w:noProof/>
          <w:sz w:val="28"/>
          <w:szCs w:val="28"/>
          <w:lang w:eastAsia="lv-LV"/>
        </w:rPr>
      </w:pPr>
      <w:bookmarkStart w:id="102" w:name="_4.2._Pasākumi_sabiedrības"/>
      <w:bookmarkStart w:id="103" w:name="_Toc380143890"/>
      <w:bookmarkStart w:id="104" w:name="_Toc380147130"/>
      <w:bookmarkStart w:id="105" w:name="_Toc392836116"/>
      <w:bookmarkEnd w:id="102"/>
      <w:r>
        <w:rPr>
          <w:rFonts w:ascii="Geometr706 Md TL" w:hAnsi="Geometr706 Md TL"/>
          <w:noProof/>
          <w:sz w:val="28"/>
          <w:szCs w:val="28"/>
        </w:rPr>
        <w:br w:type="page"/>
      </w:r>
    </w:p>
    <w:p w:rsidR="00256E7F" w:rsidRPr="00256E7F" w:rsidRDefault="00256E7F" w:rsidP="00256E7F">
      <w:pPr>
        <w:pStyle w:val="Heading2"/>
        <w:spacing w:before="0" w:line="240" w:lineRule="auto"/>
        <w:jc w:val="center"/>
        <w:rPr>
          <w:rFonts w:ascii="Geometr706 Md TL" w:hAnsi="Geometr706 Md TL"/>
          <w:noProof/>
          <w:color w:val="auto"/>
          <w:sz w:val="28"/>
          <w:szCs w:val="28"/>
        </w:rPr>
      </w:pPr>
      <w:r w:rsidRPr="00256E7F">
        <w:rPr>
          <w:rFonts w:ascii="Geometr706 Md TL" w:hAnsi="Geometr706 Md TL"/>
          <w:noProof/>
          <w:color w:val="auto"/>
          <w:sz w:val="28"/>
          <w:szCs w:val="28"/>
        </w:rPr>
        <w:lastRenderedPageBreak/>
        <w:t>4.2. Pasākumi sabiedrības viedokļa uzzināšanai</w:t>
      </w:r>
      <w:bookmarkEnd w:id="103"/>
      <w:bookmarkEnd w:id="104"/>
      <w:bookmarkEnd w:id="105"/>
    </w:p>
    <w:p w:rsidR="00256E7F" w:rsidRPr="00256E7F" w:rsidRDefault="00256E7F" w:rsidP="00256E7F">
      <w:pPr>
        <w:spacing w:line="240" w:lineRule="auto"/>
        <w:rPr>
          <w:rFonts w:ascii="Geometr706 Md TL" w:hAnsi="Geometr706 Md TL"/>
        </w:rPr>
      </w:pPr>
    </w:p>
    <w:p w:rsidR="00256E7F" w:rsidRPr="00FB7347" w:rsidRDefault="00256E7F" w:rsidP="00FB7347">
      <w:pPr>
        <w:spacing w:line="240" w:lineRule="auto"/>
        <w:jc w:val="both"/>
        <w:rPr>
          <w:rFonts w:ascii="Geometr706 Md TL" w:hAnsi="Geometr706 Md TL"/>
          <w:sz w:val="20"/>
          <w:szCs w:val="20"/>
        </w:rPr>
      </w:pPr>
      <w:r w:rsidRPr="00FB7347">
        <w:rPr>
          <w:rFonts w:ascii="Geometr706 Md TL" w:hAnsi="Geometr706 Md TL"/>
          <w:sz w:val="20"/>
          <w:szCs w:val="20"/>
        </w:rPr>
        <w:t>PTAC arī šogad kā klientu viedokļa uzzināšanas instrumentu aktīvi izmantoja mājaslapu, regulāri veicot aptaujas. PTAC ir izzinājis patērētāju un uzņēmēju apmierinātību, darba kvalitāti un dažādu aktivitāšu lietderību. Piemēram, 2013. gada janvārī un gada nogalē tika veikta aptauja, lai noskaidrotu, vai PTAC mājaslapā publicētie lēmumi mājaslapas apmeklētājiem ir bijuši noderīgi. Lielākā daļa respondentu jeb 74 % atzina, ka mājaslapā publicētie lēmumi ir bijuši noderīgi, savukārt 9 % atzina, ka ne; 17 % respondentu nav lasījuši PTAC mājaslapā publicētos lēmumus. Kopā aptaujā piedalījās 91 respondents.</w:t>
      </w:r>
    </w:p>
    <w:p w:rsidR="00256E7F" w:rsidRPr="00256E7F" w:rsidRDefault="00FB7347" w:rsidP="00FB7347">
      <w:pPr>
        <w:spacing w:line="240" w:lineRule="auto"/>
        <w:jc w:val="center"/>
        <w:rPr>
          <w:rFonts w:ascii="Geometr706 Md TL" w:hAnsi="Geometr706 Md TL"/>
        </w:rPr>
      </w:pPr>
      <w:r w:rsidRPr="00256E7F">
        <w:rPr>
          <w:rFonts w:ascii="Geometr706 Md TL" w:hAnsi="Geometr706 Md TL"/>
        </w:rPr>
        <w:object w:dxaOrig="8743" w:dyaOrig="67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9.7pt;height:260.6pt" o:ole="">
            <v:imagedata r:id="rId37" o:title=""/>
          </v:shape>
          <o:OLEObject Type="Embed" ProgID="Excel.Sheet.12" ShapeID="_x0000_i1025" DrawAspect="Content" ObjectID="_1466598283" r:id="rId38"/>
        </w:object>
      </w:r>
    </w:p>
    <w:p w:rsidR="00256E7F" w:rsidRPr="00FB7347" w:rsidRDefault="00256E7F" w:rsidP="00FB7347">
      <w:pPr>
        <w:spacing w:line="240" w:lineRule="auto"/>
        <w:ind w:firstLine="720"/>
        <w:jc w:val="both"/>
        <w:rPr>
          <w:rFonts w:ascii="Geometr706 Md TL" w:hAnsi="Geometr706 Md TL"/>
          <w:sz w:val="20"/>
          <w:szCs w:val="20"/>
        </w:rPr>
      </w:pPr>
      <w:r w:rsidRPr="00FB7347">
        <w:rPr>
          <w:rFonts w:ascii="Geometr706 Md TL" w:hAnsi="Geometr706 Md TL"/>
          <w:sz w:val="20"/>
          <w:szCs w:val="20"/>
        </w:rPr>
        <w:t>2013. gada aprīlī PTAC mājaslapā tika noskaidrots respondentu viedoklis, vai patērētājus (uzņēmējus) apmierina PTAC telefoniski sniegto konsultāciju kvalitāte un pieejamība. Gandrīz puse respondentu jeb 44 % sniedza atbildi, ka viņus apmierina šo konsultāciju kvalitāte un pieejamība, tikai 2 % respondentu nav apmierināti ar PTAC telefoniski sniegtajām konsultācijām. 15 % respondentu atzīst, ka PTAC nevar sazvanīt, savukārt 29 % nav izmantojuši iespēju telefoniski saņemt PTAC konsultāciju. Kopumā šajā aptaujā piedalījās 123 respondenti.</w:t>
      </w:r>
    </w:p>
    <w:p w:rsidR="00256E7F" w:rsidRPr="00FB7347" w:rsidRDefault="00256E7F" w:rsidP="00FB7347">
      <w:pPr>
        <w:spacing w:line="240" w:lineRule="auto"/>
        <w:ind w:right="41"/>
        <w:jc w:val="both"/>
        <w:rPr>
          <w:rFonts w:ascii="Geometr706 Md TL" w:hAnsi="Geometr706 Md TL"/>
          <w:b/>
          <w:sz w:val="20"/>
          <w:szCs w:val="20"/>
        </w:rPr>
      </w:pPr>
      <w:r w:rsidRPr="00FB7347">
        <w:rPr>
          <w:rFonts w:ascii="Geometr706 Md TL" w:hAnsi="Geometr706 Md TL"/>
          <w:b/>
          <w:sz w:val="20"/>
          <w:szCs w:val="20"/>
        </w:rPr>
        <w:t>No aptauju rezultātiem ir secināms, ka:</w:t>
      </w:r>
    </w:p>
    <w:p w:rsidR="00256E7F" w:rsidRPr="00FB7347" w:rsidRDefault="00256E7F" w:rsidP="00FB7347">
      <w:pPr>
        <w:pStyle w:val="ListParagraph"/>
        <w:numPr>
          <w:ilvl w:val="0"/>
          <w:numId w:val="40"/>
        </w:numPr>
        <w:spacing w:line="240" w:lineRule="auto"/>
        <w:ind w:right="41"/>
        <w:rPr>
          <w:rFonts w:ascii="Geometr706 Md TL" w:hAnsi="Geometr706 Md TL"/>
          <w:b/>
          <w:sz w:val="20"/>
          <w:szCs w:val="20"/>
        </w:rPr>
      </w:pPr>
      <w:r w:rsidRPr="00FB7347">
        <w:rPr>
          <w:rFonts w:ascii="Geometr706 Md TL" w:hAnsi="Geometr706 Md TL"/>
          <w:sz w:val="20"/>
          <w:szCs w:val="20"/>
        </w:rPr>
        <w:t>pēc PTAC speciālista konsultācijas saņemšanas turpmākās darbības bijušas saprotamas 56 % aptaujāto, 29 % tās nav bijušas saprotamas, 15 % tās bijušas daļēji saprotamas. Kopumā aptaujā piedalījās 52 respondenti;</w:t>
      </w:r>
    </w:p>
    <w:p w:rsidR="00256E7F" w:rsidRPr="00FB7347" w:rsidRDefault="00256E7F" w:rsidP="00FB7347">
      <w:pPr>
        <w:pStyle w:val="ListParagraph"/>
        <w:numPr>
          <w:ilvl w:val="0"/>
          <w:numId w:val="39"/>
        </w:numPr>
        <w:spacing w:line="240" w:lineRule="auto"/>
        <w:ind w:right="41"/>
        <w:rPr>
          <w:rFonts w:ascii="Geometr706 Md TL" w:hAnsi="Geometr706 Md TL"/>
          <w:b/>
          <w:sz w:val="20"/>
          <w:szCs w:val="20"/>
        </w:rPr>
      </w:pPr>
      <w:r w:rsidRPr="00FB7347">
        <w:rPr>
          <w:rFonts w:ascii="Geometr706 Md TL" w:hAnsi="Geometr706 Md TL"/>
          <w:sz w:val="20"/>
          <w:szCs w:val="20"/>
        </w:rPr>
        <w:t>par PTAC 31 % respondentu pirmo reizi uzzināja internetā, 33 % – medijos, 15 % – no paziņām. 20 % respondentu neatceras, kā uzzinājuši par PTAC. Kopumā aptaujā piedalījās 84 respondenti;</w:t>
      </w:r>
    </w:p>
    <w:p w:rsidR="00256E7F" w:rsidRPr="00FB7347" w:rsidRDefault="00256E7F" w:rsidP="00FB7347">
      <w:pPr>
        <w:pStyle w:val="ListParagraph"/>
        <w:numPr>
          <w:ilvl w:val="0"/>
          <w:numId w:val="38"/>
        </w:numPr>
        <w:spacing w:line="240" w:lineRule="auto"/>
        <w:ind w:right="41"/>
        <w:rPr>
          <w:rFonts w:ascii="Geometr706 Md TL" w:hAnsi="Geometr706 Md TL"/>
          <w:b/>
          <w:sz w:val="20"/>
          <w:szCs w:val="20"/>
        </w:rPr>
      </w:pPr>
      <w:r w:rsidRPr="00FB7347">
        <w:rPr>
          <w:rFonts w:ascii="Geometr706 Md TL" w:hAnsi="Geometr706 Md TL"/>
          <w:sz w:val="20"/>
          <w:szCs w:val="20"/>
        </w:rPr>
        <w:t xml:space="preserve">69 % aptaujāto PTAC apkalpošanas kultūru vērtē pozitīvi vai drīzāk pozitīvi. Salīdzinot ar 2012. gadu, pozitīvs vērtējums šajā jautājumā ir pieaudzis tikai nedaudz – par 2 %. Nozīmīgi, ka, salīdzinot ar 2012. gadu, ir samazinājies (par 11 %) to respondentu skaits, kas PTAC darbību vērtē negatīvi </w:t>
      </w:r>
      <w:r w:rsidRPr="00FB7347">
        <w:rPr>
          <w:rFonts w:ascii="Geometr706 Md TL" w:hAnsi="Geometr706 Md TL"/>
          <w:b/>
          <w:sz w:val="20"/>
          <w:szCs w:val="20"/>
        </w:rPr>
        <w:t>(sk. attēlu.);</w:t>
      </w:r>
    </w:p>
    <w:p w:rsidR="00256E7F" w:rsidRPr="003179A2" w:rsidRDefault="00256E7F" w:rsidP="00256E7F">
      <w:pPr>
        <w:pStyle w:val="ListParagraph"/>
        <w:widowControl/>
        <w:numPr>
          <w:ilvl w:val="0"/>
          <w:numId w:val="38"/>
        </w:numPr>
        <w:adjustRightInd/>
        <w:spacing w:line="240" w:lineRule="auto"/>
        <w:ind w:right="41"/>
        <w:textAlignment w:val="auto"/>
        <w:rPr>
          <w:rFonts w:ascii="Geometr706 Md TL" w:eastAsiaTheme="minorEastAsia" w:hAnsi="Geometr706 Md TL"/>
          <w:sz w:val="20"/>
          <w:szCs w:val="20"/>
        </w:rPr>
      </w:pPr>
      <w:r w:rsidRPr="00FB7347">
        <w:rPr>
          <w:rFonts w:ascii="Geometr706 Md TL" w:hAnsi="Geometr706 Md TL"/>
          <w:sz w:val="20"/>
          <w:szCs w:val="20"/>
        </w:rPr>
        <w:t>klientiem uzdoti arī vairāki jautājumi, lai uzzinātu patērētāju viedokli par 2013. gada prioritārajām uzraudzības aktivitāšu tēmām, kas apliecina problēmu aktualitāti.</w:t>
      </w:r>
    </w:p>
    <w:p w:rsidR="00256E7F" w:rsidRPr="00256E7F" w:rsidRDefault="00256E7F" w:rsidP="00256E7F">
      <w:pPr>
        <w:pStyle w:val="Heading2"/>
        <w:spacing w:before="0" w:line="240" w:lineRule="auto"/>
        <w:jc w:val="center"/>
        <w:rPr>
          <w:rFonts w:ascii="Geometr706 Md TL" w:hAnsi="Geometr706 Md TL"/>
          <w:noProof/>
          <w:color w:val="auto"/>
          <w:sz w:val="28"/>
          <w:szCs w:val="28"/>
        </w:rPr>
      </w:pPr>
      <w:bookmarkStart w:id="106" w:name="_4.3._Sadarbība_ar"/>
      <w:bookmarkStart w:id="107" w:name="_Toc380143891"/>
      <w:bookmarkStart w:id="108" w:name="_Toc380147131"/>
      <w:bookmarkEnd w:id="106"/>
    </w:p>
    <w:p w:rsidR="00256E7F" w:rsidRPr="00256E7F" w:rsidRDefault="00256E7F" w:rsidP="00256E7F">
      <w:pPr>
        <w:pStyle w:val="Heading2"/>
        <w:spacing w:before="0" w:line="240" w:lineRule="auto"/>
        <w:jc w:val="center"/>
        <w:rPr>
          <w:rFonts w:ascii="Geometr706 Md TL" w:hAnsi="Geometr706 Md TL"/>
          <w:noProof/>
          <w:color w:val="auto"/>
          <w:sz w:val="28"/>
          <w:szCs w:val="28"/>
        </w:rPr>
      </w:pPr>
      <w:bookmarkStart w:id="109" w:name="_Toc392836117"/>
      <w:r w:rsidRPr="00256E7F">
        <w:rPr>
          <w:rFonts w:ascii="Geometr706 Md TL" w:hAnsi="Geometr706 Md TL"/>
          <w:noProof/>
          <w:color w:val="auto"/>
          <w:sz w:val="28"/>
          <w:szCs w:val="28"/>
        </w:rPr>
        <w:t>4.3. Sadarbība ar nevalstisko sektoru</w:t>
      </w:r>
      <w:bookmarkEnd w:id="107"/>
      <w:bookmarkEnd w:id="108"/>
      <w:bookmarkEnd w:id="109"/>
    </w:p>
    <w:p w:rsidR="00256E7F" w:rsidRPr="00256E7F" w:rsidRDefault="00256E7F" w:rsidP="00256E7F">
      <w:pPr>
        <w:spacing w:line="240" w:lineRule="auto"/>
        <w:rPr>
          <w:rFonts w:ascii="Geometr706 Md TL" w:hAnsi="Geometr706 Md TL"/>
        </w:rPr>
      </w:pPr>
    </w:p>
    <w:p w:rsidR="00256E7F" w:rsidRPr="00FB7347" w:rsidRDefault="00256E7F" w:rsidP="00FB7347">
      <w:pPr>
        <w:spacing w:line="240" w:lineRule="auto"/>
        <w:ind w:right="40" w:firstLine="709"/>
        <w:jc w:val="both"/>
        <w:rPr>
          <w:rFonts w:ascii="Geometr706 Md TL" w:hAnsi="Geometr706 Md TL"/>
          <w:sz w:val="20"/>
          <w:szCs w:val="20"/>
        </w:rPr>
      </w:pPr>
      <w:r w:rsidRPr="00FB7347">
        <w:rPr>
          <w:rFonts w:ascii="Geometr706 Md TL" w:hAnsi="Geometr706 Md TL"/>
          <w:sz w:val="20"/>
          <w:szCs w:val="20"/>
        </w:rPr>
        <w:t xml:space="preserve">PTAC savā darbībā regulāri sadarbojas ar dažādām nevalstiskām organizācijām. Galvenā sadarbība notiek ar nevalstiskām patērētāju aizsardzības organizācijām – Patērētāju interešu aizstāvības asociāciju un tās aktīvākajiem biedriem. PTAC regulāri sadarbojas arī ar dažādām uzņēmēju nevalstiskajām organizācijām, kā Latvijas Darba devēju konfederāciju, Latvijas Tirgotāju asociāciju, </w:t>
      </w:r>
      <w:r w:rsidRPr="00FB7347">
        <w:rPr>
          <w:rFonts w:ascii="Geometr706 Md TL" w:hAnsi="Geometr706 Md TL"/>
          <w:bCs/>
          <w:sz w:val="20"/>
          <w:szCs w:val="20"/>
        </w:rPr>
        <w:t>Latvijas Tiešās tirdzniecības asociāciju</w:t>
      </w:r>
      <w:r w:rsidRPr="00FB7347">
        <w:rPr>
          <w:rFonts w:ascii="Geometr706 Md TL" w:hAnsi="Geometr706 Md TL"/>
          <w:sz w:val="20"/>
          <w:szCs w:val="20"/>
        </w:rPr>
        <w:t xml:space="preserve">, Latvijas Auto nomu asociāciju, Latvijas Komercbanku asociāciju, Latvijas </w:t>
      </w:r>
      <w:proofErr w:type="spellStart"/>
      <w:r w:rsidRPr="00FB7347">
        <w:rPr>
          <w:rFonts w:ascii="Geometr706 Md TL" w:hAnsi="Geometr706 Md TL"/>
          <w:sz w:val="20"/>
          <w:szCs w:val="20"/>
        </w:rPr>
        <w:t>Nebanku</w:t>
      </w:r>
      <w:proofErr w:type="spellEnd"/>
      <w:r w:rsidRPr="00FB7347">
        <w:rPr>
          <w:rFonts w:ascii="Geometr706 Md TL" w:hAnsi="Geometr706 Md TL"/>
          <w:sz w:val="20"/>
          <w:szCs w:val="20"/>
        </w:rPr>
        <w:t xml:space="preserve"> </w:t>
      </w:r>
      <w:proofErr w:type="spellStart"/>
      <w:r w:rsidRPr="00FB7347">
        <w:rPr>
          <w:rFonts w:ascii="Geometr706 Md TL" w:hAnsi="Geometr706 Md TL"/>
          <w:sz w:val="20"/>
          <w:szCs w:val="20"/>
        </w:rPr>
        <w:t>kredītdevēju</w:t>
      </w:r>
      <w:proofErr w:type="spellEnd"/>
      <w:r w:rsidRPr="00FB7347">
        <w:rPr>
          <w:rFonts w:ascii="Geometr706 Md TL" w:hAnsi="Geometr706 Md TL"/>
          <w:sz w:val="20"/>
          <w:szCs w:val="20"/>
        </w:rPr>
        <w:t xml:space="preserve"> asociāciju, Reklāmas asociāciju u. c. Sadarbība norit gan normatīvo aktu izstrādes procesu ietvaros, gan saistībā ar saņemtām patērētāju sūdzībām un PTAC uzraudzības darbībām.</w:t>
      </w:r>
    </w:p>
    <w:p w:rsidR="00256E7F" w:rsidRPr="00FB7347" w:rsidRDefault="00256E7F" w:rsidP="00FB7347">
      <w:pPr>
        <w:spacing w:line="240" w:lineRule="auto"/>
        <w:ind w:right="40" w:firstLine="709"/>
        <w:jc w:val="both"/>
        <w:rPr>
          <w:rFonts w:ascii="Geometr706 Md TL" w:hAnsi="Geometr706 Md TL"/>
          <w:sz w:val="20"/>
          <w:szCs w:val="20"/>
        </w:rPr>
      </w:pPr>
      <w:r w:rsidRPr="00FB7347">
        <w:rPr>
          <w:rFonts w:ascii="Geometr706 Md TL" w:hAnsi="Geometr706 Md TL"/>
          <w:sz w:val="20"/>
          <w:szCs w:val="20"/>
        </w:rPr>
        <w:t xml:space="preserve">2013. gada 9. septembrī tika noslēgts līdzdarbības līgums ar Latvijas Patērētāju interešu aizstāvības asociāciju, lai </w:t>
      </w:r>
      <w:r w:rsidRPr="00FB7347">
        <w:rPr>
          <w:rFonts w:ascii="Geometr706 Md TL" w:hAnsi="Geometr706 Md TL"/>
          <w:bCs/>
          <w:sz w:val="20"/>
          <w:szCs w:val="20"/>
        </w:rPr>
        <w:t>nodrošinātu preču un pakalpojumu cenu norādīšanas kārtības ievērošanas kontroli Latvijas Republikā cenu paralēlās atspoguļošanas periodā</w:t>
      </w:r>
      <w:r w:rsidRPr="00FB7347">
        <w:rPr>
          <w:rFonts w:ascii="Geometr706 Md TL" w:hAnsi="Geometr706 Md TL"/>
          <w:sz w:val="20"/>
          <w:szCs w:val="20"/>
        </w:rPr>
        <w:t>.</w:t>
      </w:r>
    </w:p>
    <w:p w:rsidR="00256E7F" w:rsidRPr="00FB7347" w:rsidRDefault="00256E7F" w:rsidP="00FB7347">
      <w:pPr>
        <w:spacing w:line="240" w:lineRule="auto"/>
        <w:ind w:right="40" w:firstLine="709"/>
        <w:jc w:val="both"/>
        <w:rPr>
          <w:rFonts w:ascii="Geometr706 Md TL" w:hAnsi="Geometr706 Md TL"/>
          <w:sz w:val="20"/>
          <w:szCs w:val="20"/>
        </w:rPr>
      </w:pPr>
      <w:r w:rsidRPr="00FB7347">
        <w:rPr>
          <w:rFonts w:ascii="Geometr706 Md TL" w:hAnsi="Geometr706 Md TL"/>
          <w:sz w:val="20"/>
          <w:szCs w:val="20"/>
        </w:rPr>
        <w:t>Bīstamo iekārtu uzraudzības jomā PTAC sadarbojas ar Tehnisko ekspertu asociāciju, ar kuru 2010. gada 25. februārī ir noslēgts sadarbības līgums. Būvizstrādājumu jomā PTAC sadarbojas ar Būvmateriālu ražotāju asociāciju (sadarbības līgums ir noslēgts 2010. gada 8. decembrī) un Latvijas Logu un durvju ražotāju asociāciju. Lai uzlabotu situāciju slēpošanas trasēs, 2012. gadā PTAC sadarbībā ar Latvijas Slēpošanas trašu asociāciju un Latvijas Slēpošanas un snovborda instruktoru asociāciju izstrādāja slēpošanas trašu drošuma vadlīnijas.</w:t>
      </w:r>
    </w:p>
    <w:p w:rsidR="00256E7F" w:rsidRPr="00256E7F" w:rsidRDefault="00256E7F" w:rsidP="00256E7F">
      <w:pPr>
        <w:spacing w:line="240" w:lineRule="auto"/>
        <w:ind w:right="41" w:firstLine="709"/>
        <w:rPr>
          <w:rFonts w:ascii="Geometr706 Md TL" w:hAnsi="Geometr706 Md TL"/>
          <w:b/>
          <w:bCs/>
          <w:iCs/>
        </w:rPr>
      </w:pPr>
    </w:p>
    <w:p w:rsidR="00FB7347" w:rsidRDefault="00FB7347">
      <w:pPr>
        <w:rPr>
          <w:rFonts w:ascii="Geometr706 Md TL" w:eastAsiaTheme="majorEastAsia" w:hAnsi="Geometr706 Md TL" w:cstheme="majorBidi"/>
          <w:b/>
          <w:bCs/>
          <w:noProof/>
          <w:color w:val="365F91" w:themeColor="accent1" w:themeShade="BF"/>
          <w:sz w:val="32"/>
          <w:szCs w:val="32"/>
        </w:rPr>
      </w:pPr>
      <w:bookmarkStart w:id="110" w:name="_5._Nākamajā_gadā"/>
      <w:bookmarkStart w:id="111" w:name="_Toc380143892"/>
      <w:bookmarkStart w:id="112" w:name="_Toc380147132"/>
      <w:bookmarkEnd w:id="110"/>
      <w:r>
        <w:rPr>
          <w:rFonts w:ascii="Geometr706 Md TL" w:hAnsi="Geometr706 Md TL"/>
          <w:noProof/>
          <w:sz w:val="32"/>
          <w:szCs w:val="32"/>
        </w:rPr>
        <w:br w:type="page"/>
      </w:r>
    </w:p>
    <w:p w:rsidR="00256E7F" w:rsidRPr="00256E7F" w:rsidRDefault="00256E7F" w:rsidP="00256E7F">
      <w:pPr>
        <w:pStyle w:val="Heading1"/>
        <w:spacing w:line="240" w:lineRule="auto"/>
        <w:rPr>
          <w:rFonts w:ascii="Geometr706 Md TL" w:hAnsi="Geometr706 Md TL"/>
          <w:noProof/>
          <w:sz w:val="32"/>
          <w:szCs w:val="32"/>
        </w:rPr>
      </w:pPr>
      <w:bookmarkStart w:id="113" w:name="_Toc392836118"/>
      <w:r w:rsidRPr="00256E7F">
        <w:rPr>
          <w:rFonts w:ascii="Geometr706 Md TL" w:hAnsi="Geometr706 Md TL"/>
          <w:noProof/>
          <w:sz w:val="32"/>
          <w:szCs w:val="32"/>
        </w:rPr>
        <w:lastRenderedPageBreak/>
        <w:t>5. Nākamajā gadā plānotie pasākumi</w:t>
      </w:r>
      <w:bookmarkEnd w:id="111"/>
      <w:bookmarkEnd w:id="112"/>
      <w:bookmarkEnd w:id="113"/>
    </w:p>
    <w:p w:rsidR="00256E7F" w:rsidRPr="00256E7F" w:rsidRDefault="00256E7F" w:rsidP="00256E7F">
      <w:pPr>
        <w:pStyle w:val="Heading2"/>
        <w:spacing w:before="0" w:line="240" w:lineRule="auto"/>
        <w:jc w:val="center"/>
        <w:rPr>
          <w:rFonts w:ascii="Geometr706 Md TL" w:hAnsi="Geometr706 Md TL" w:cs="Times New Roman"/>
          <w:noProof/>
          <w:color w:val="auto"/>
          <w:sz w:val="28"/>
          <w:szCs w:val="28"/>
        </w:rPr>
      </w:pPr>
      <w:bookmarkStart w:id="114" w:name="_5.1._Nākamā_gada"/>
      <w:bookmarkStart w:id="115" w:name="_Toc380143893"/>
      <w:bookmarkStart w:id="116" w:name="_Toc380147133"/>
      <w:bookmarkEnd w:id="114"/>
    </w:p>
    <w:p w:rsidR="00256E7F" w:rsidRPr="00256E7F" w:rsidRDefault="00256E7F" w:rsidP="00256E7F">
      <w:pPr>
        <w:pStyle w:val="Heading2"/>
        <w:spacing w:before="0" w:line="240" w:lineRule="auto"/>
        <w:jc w:val="center"/>
        <w:rPr>
          <w:rFonts w:ascii="Geometr706 Md TL" w:hAnsi="Geometr706 Md TL" w:cs="Times New Roman"/>
          <w:noProof/>
          <w:color w:val="auto"/>
          <w:sz w:val="28"/>
          <w:szCs w:val="28"/>
        </w:rPr>
      </w:pPr>
      <w:bookmarkStart w:id="117" w:name="_Toc392836119"/>
      <w:r w:rsidRPr="00256E7F">
        <w:rPr>
          <w:rFonts w:ascii="Geometr706 Md TL" w:hAnsi="Geometr706 Md TL" w:cs="Times New Roman"/>
          <w:noProof/>
          <w:color w:val="auto"/>
          <w:sz w:val="28"/>
          <w:szCs w:val="28"/>
        </w:rPr>
        <w:t>5.1.</w:t>
      </w:r>
      <w:r w:rsidRPr="00256E7F">
        <w:rPr>
          <w:rFonts w:ascii="Geometr706 Md TL" w:eastAsiaTheme="minorEastAsia" w:hAnsi="Geometr706 Md TL" w:cs="Times New Roman"/>
          <w:noProof/>
          <w:color w:val="auto"/>
          <w:sz w:val="28"/>
          <w:szCs w:val="28"/>
        </w:rPr>
        <w:t> </w:t>
      </w:r>
      <w:r w:rsidRPr="00256E7F">
        <w:rPr>
          <w:rFonts w:ascii="Geometr706 Md TL" w:hAnsi="Geometr706 Md TL" w:cs="Times New Roman"/>
          <w:noProof/>
          <w:color w:val="auto"/>
          <w:sz w:val="28"/>
          <w:szCs w:val="28"/>
        </w:rPr>
        <w:t>Nākamā gada prioritātes</w:t>
      </w:r>
      <w:bookmarkEnd w:id="115"/>
      <w:bookmarkEnd w:id="116"/>
      <w:bookmarkEnd w:id="117"/>
    </w:p>
    <w:p w:rsidR="00256E7F" w:rsidRPr="000A0AA3" w:rsidRDefault="00256E7F" w:rsidP="000A0AA3">
      <w:pPr>
        <w:tabs>
          <w:tab w:val="left" w:pos="8505"/>
        </w:tabs>
        <w:ind w:right="41"/>
        <w:jc w:val="both"/>
        <w:rPr>
          <w:rFonts w:ascii="Geometr706 Md TL" w:hAnsi="Geometr706 Md TL"/>
          <w:b/>
          <w:bCs/>
          <w:sz w:val="20"/>
          <w:szCs w:val="20"/>
        </w:rPr>
      </w:pPr>
      <w:r w:rsidRPr="000A0AA3">
        <w:rPr>
          <w:rFonts w:ascii="Geometr706 Md TL" w:hAnsi="Geometr706 Md TL"/>
          <w:b/>
          <w:bCs/>
          <w:sz w:val="20"/>
          <w:szCs w:val="20"/>
        </w:rPr>
        <w:t>Tirgus uzraudzība</w:t>
      </w:r>
    </w:p>
    <w:p w:rsidR="00256E7F" w:rsidRPr="000A0AA3" w:rsidRDefault="00256E7F" w:rsidP="000A0AA3">
      <w:pPr>
        <w:spacing w:line="240" w:lineRule="auto"/>
        <w:ind w:firstLine="709"/>
        <w:jc w:val="both"/>
        <w:rPr>
          <w:rFonts w:ascii="Geometr706 Md TL" w:hAnsi="Geometr706 Md TL"/>
          <w:sz w:val="20"/>
          <w:szCs w:val="20"/>
        </w:rPr>
      </w:pPr>
      <w:r w:rsidRPr="000A0AA3">
        <w:rPr>
          <w:rFonts w:ascii="Geometr706 Md TL" w:hAnsi="Geometr706 Md TL"/>
          <w:sz w:val="20"/>
          <w:szCs w:val="20"/>
        </w:rPr>
        <w:t xml:space="preserve">Tiks realizēti 8 preču un pakalpojumu drošuma un atbilstības uzlabošanas projekti šādās preču grupās: </w:t>
      </w:r>
    </w:p>
    <w:p w:rsidR="00256E7F" w:rsidRPr="000A0AA3" w:rsidRDefault="00256E7F" w:rsidP="000A0AA3">
      <w:pPr>
        <w:pStyle w:val="ListParagraph"/>
        <w:numPr>
          <w:ilvl w:val="0"/>
          <w:numId w:val="49"/>
        </w:numPr>
        <w:tabs>
          <w:tab w:val="left" w:pos="993"/>
        </w:tabs>
        <w:spacing w:line="240" w:lineRule="auto"/>
        <w:ind w:left="0" w:firstLine="709"/>
        <w:rPr>
          <w:rFonts w:ascii="Geometr706 Md TL" w:hAnsi="Geometr706 Md TL"/>
          <w:sz w:val="20"/>
          <w:szCs w:val="20"/>
        </w:rPr>
      </w:pPr>
      <w:r w:rsidRPr="000A0AA3">
        <w:rPr>
          <w:rFonts w:ascii="Geometr706 Md TL" w:hAnsi="Geometr706 Md TL"/>
          <w:sz w:val="20"/>
          <w:szCs w:val="20"/>
        </w:rPr>
        <w:t xml:space="preserve">spiedieniekārtas, </w:t>
      </w:r>
    </w:p>
    <w:p w:rsidR="00256E7F" w:rsidRPr="000A0AA3" w:rsidRDefault="00256E7F" w:rsidP="000A0AA3">
      <w:pPr>
        <w:pStyle w:val="ListParagraph"/>
        <w:numPr>
          <w:ilvl w:val="0"/>
          <w:numId w:val="49"/>
        </w:numPr>
        <w:tabs>
          <w:tab w:val="left" w:pos="993"/>
        </w:tabs>
        <w:spacing w:line="240" w:lineRule="auto"/>
        <w:ind w:left="0" w:firstLine="709"/>
        <w:rPr>
          <w:rFonts w:ascii="Geometr706 Md TL" w:hAnsi="Geometr706 Md TL"/>
          <w:sz w:val="20"/>
          <w:szCs w:val="20"/>
        </w:rPr>
      </w:pPr>
      <w:r w:rsidRPr="000A0AA3">
        <w:rPr>
          <w:rFonts w:ascii="Geometr706 Md TL" w:hAnsi="Geometr706 Md TL"/>
          <w:sz w:val="20"/>
          <w:szCs w:val="20"/>
        </w:rPr>
        <w:t xml:space="preserve">būvizstrādājumi, </w:t>
      </w:r>
    </w:p>
    <w:p w:rsidR="00256E7F" w:rsidRPr="000A0AA3" w:rsidRDefault="00256E7F" w:rsidP="000A0AA3">
      <w:pPr>
        <w:pStyle w:val="ListParagraph"/>
        <w:numPr>
          <w:ilvl w:val="0"/>
          <w:numId w:val="49"/>
        </w:numPr>
        <w:tabs>
          <w:tab w:val="left" w:pos="993"/>
        </w:tabs>
        <w:spacing w:line="240" w:lineRule="auto"/>
        <w:ind w:left="0" w:firstLine="709"/>
        <w:rPr>
          <w:rFonts w:ascii="Geometr706 Md TL" w:hAnsi="Geometr706 Md TL"/>
          <w:sz w:val="20"/>
          <w:szCs w:val="20"/>
        </w:rPr>
      </w:pPr>
      <w:r w:rsidRPr="000A0AA3">
        <w:rPr>
          <w:rFonts w:ascii="Geometr706 Md TL" w:hAnsi="Geometr706 Md TL"/>
          <w:sz w:val="20"/>
          <w:szCs w:val="20"/>
        </w:rPr>
        <w:t xml:space="preserve">elektropreces, </w:t>
      </w:r>
    </w:p>
    <w:p w:rsidR="00256E7F" w:rsidRPr="000A0AA3" w:rsidRDefault="00256E7F" w:rsidP="000A0AA3">
      <w:pPr>
        <w:pStyle w:val="ListParagraph"/>
        <w:numPr>
          <w:ilvl w:val="0"/>
          <w:numId w:val="49"/>
        </w:numPr>
        <w:tabs>
          <w:tab w:val="left" w:pos="993"/>
        </w:tabs>
        <w:spacing w:line="240" w:lineRule="auto"/>
        <w:ind w:left="0" w:firstLine="709"/>
        <w:rPr>
          <w:rFonts w:ascii="Geometr706 Md TL" w:hAnsi="Geometr706 Md TL"/>
          <w:sz w:val="20"/>
          <w:szCs w:val="20"/>
        </w:rPr>
      </w:pPr>
      <w:r w:rsidRPr="000A0AA3">
        <w:rPr>
          <w:rFonts w:ascii="Geometr706 Md TL" w:hAnsi="Geometr706 Md TL"/>
          <w:sz w:val="20"/>
          <w:szCs w:val="20"/>
        </w:rPr>
        <w:t xml:space="preserve">rotaļlietas, </w:t>
      </w:r>
    </w:p>
    <w:p w:rsidR="00256E7F" w:rsidRPr="000A0AA3" w:rsidRDefault="00256E7F" w:rsidP="000A0AA3">
      <w:pPr>
        <w:pStyle w:val="ListParagraph"/>
        <w:numPr>
          <w:ilvl w:val="0"/>
          <w:numId w:val="49"/>
        </w:numPr>
        <w:tabs>
          <w:tab w:val="left" w:pos="993"/>
        </w:tabs>
        <w:spacing w:line="240" w:lineRule="auto"/>
        <w:ind w:left="0" w:firstLine="709"/>
        <w:rPr>
          <w:rFonts w:ascii="Geometr706 Md TL" w:hAnsi="Geometr706 Md TL"/>
          <w:sz w:val="20"/>
          <w:szCs w:val="20"/>
        </w:rPr>
      </w:pPr>
      <w:r w:rsidRPr="000A0AA3">
        <w:rPr>
          <w:rFonts w:ascii="Geometr706 Md TL" w:hAnsi="Geometr706 Md TL"/>
          <w:sz w:val="20"/>
          <w:szCs w:val="20"/>
        </w:rPr>
        <w:t xml:space="preserve">radio un telekomunikāciju galiekārtas, </w:t>
      </w:r>
    </w:p>
    <w:p w:rsidR="00256E7F" w:rsidRPr="000A0AA3" w:rsidRDefault="00256E7F" w:rsidP="000A0AA3">
      <w:pPr>
        <w:pStyle w:val="ListParagraph"/>
        <w:numPr>
          <w:ilvl w:val="0"/>
          <w:numId w:val="49"/>
        </w:numPr>
        <w:tabs>
          <w:tab w:val="left" w:pos="993"/>
        </w:tabs>
        <w:spacing w:line="240" w:lineRule="auto"/>
        <w:ind w:left="0" w:firstLine="709"/>
        <w:rPr>
          <w:rFonts w:ascii="Geometr706 Md TL" w:hAnsi="Geometr706 Md TL"/>
          <w:sz w:val="20"/>
          <w:szCs w:val="20"/>
        </w:rPr>
      </w:pPr>
      <w:proofErr w:type="spellStart"/>
      <w:r w:rsidRPr="000A0AA3">
        <w:rPr>
          <w:rFonts w:ascii="Geometr706 Md TL" w:hAnsi="Geometr706 Md TL"/>
          <w:sz w:val="20"/>
          <w:szCs w:val="20"/>
        </w:rPr>
        <w:t>mašīniekārtas</w:t>
      </w:r>
      <w:proofErr w:type="spellEnd"/>
      <w:r w:rsidRPr="000A0AA3">
        <w:rPr>
          <w:rFonts w:ascii="Geometr706 Md TL" w:hAnsi="Geometr706 Md TL"/>
          <w:sz w:val="20"/>
          <w:szCs w:val="20"/>
        </w:rPr>
        <w:t xml:space="preserve">, </w:t>
      </w:r>
    </w:p>
    <w:p w:rsidR="00256E7F" w:rsidRPr="000A0AA3" w:rsidRDefault="00256E7F" w:rsidP="000A0AA3">
      <w:pPr>
        <w:pStyle w:val="ListParagraph"/>
        <w:numPr>
          <w:ilvl w:val="0"/>
          <w:numId w:val="49"/>
        </w:numPr>
        <w:tabs>
          <w:tab w:val="left" w:pos="993"/>
        </w:tabs>
        <w:spacing w:line="240" w:lineRule="auto"/>
        <w:ind w:left="0" w:firstLine="709"/>
        <w:rPr>
          <w:rFonts w:ascii="Geometr706 Md TL" w:hAnsi="Geometr706 Md TL"/>
          <w:sz w:val="20"/>
          <w:szCs w:val="20"/>
        </w:rPr>
      </w:pPr>
      <w:r w:rsidRPr="000A0AA3">
        <w:rPr>
          <w:rFonts w:ascii="Geometr706 Md TL" w:hAnsi="Geometr706 Md TL"/>
          <w:sz w:val="20"/>
          <w:szCs w:val="20"/>
        </w:rPr>
        <w:t xml:space="preserve">vispārējais preču un pakalpojumu drošums; </w:t>
      </w:r>
    </w:p>
    <w:p w:rsidR="00256E7F" w:rsidRPr="000A0AA3" w:rsidRDefault="00256E7F" w:rsidP="000A0AA3">
      <w:pPr>
        <w:tabs>
          <w:tab w:val="left" w:pos="993"/>
        </w:tabs>
        <w:spacing w:line="240" w:lineRule="auto"/>
        <w:jc w:val="both"/>
        <w:rPr>
          <w:rFonts w:ascii="Geometr706 Md TL" w:hAnsi="Geometr706 Md TL"/>
          <w:sz w:val="20"/>
          <w:szCs w:val="20"/>
        </w:rPr>
      </w:pPr>
      <w:r w:rsidRPr="000A0AA3">
        <w:rPr>
          <w:rFonts w:ascii="Geometr706 Md TL" w:hAnsi="Geometr706 Md TL"/>
          <w:sz w:val="20"/>
          <w:szCs w:val="20"/>
        </w:rPr>
        <w:tab/>
        <w:t>Citās uzraudzības jomās:</w:t>
      </w:r>
    </w:p>
    <w:p w:rsidR="00256E7F" w:rsidRPr="000A0AA3" w:rsidRDefault="00256E7F" w:rsidP="000A0AA3">
      <w:pPr>
        <w:pStyle w:val="ListParagraph"/>
        <w:numPr>
          <w:ilvl w:val="0"/>
          <w:numId w:val="49"/>
        </w:numPr>
        <w:tabs>
          <w:tab w:val="left" w:pos="993"/>
        </w:tabs>
        <w:spacing w:line="240" w:lineRule="auto"/>
        <w:ind w:left="0" w:firstLine="709"/>
        <w:rPr>
          <w:rFonts w:ascii="Geometr706 Md TL" w:hAnsi="Geometr706 Md TL"/>
          <w:sz w:val="20"/>
          <w:szCs w:val="20"/>
        </w:rPr>
      </w:pPr>
      <w:r w:rsidRPr="000A0AA3">
        <w:rPr>
          <w:rFonts w:ascii="Geometr706 Md TL" w:hAnsi="Geometr706 Md TL"/>
          <w:sz w:val="20"/>
          <w:szCs w:val="20"/>
        </w:rPr>
        <w:t>2 bīstamo iekārtu projekti kravas celtņu un atrakciju iekārtu jomā</w:t>
      </w:r>
    </w:p>
    <w:p w:rsidR="00256E7F" w:rsidRPr="000A0AA3" w:rsidRDefault="00256E7F" w:rsidP="000A0AA3">
      <w:pPr>
        <w:pStyle w:val="ListParagraph"/>
        <w:numPr>
          <w:ilvl w:val="0"/>
          <w:numId w:val="49"/>
        </w:numPr>
        <w:tabs>
          <w:tab w:val="left" w:pos="993"/>
        </w:tabs>
        <w:spacing w:line="240" w:lineRule="auto"/>
        <w:ind w:left="0" w:firstLine="709"/>
        <w:rPr>
          <w:rFonts w:ascii="Geometr706 Md TL" w:hAnsi="Geometr706 Md TL"/>
          <w:sz w:val="20"/>
          <w:szCs w:val="20"/>
        </w:rPr>
      </w:pPr>
      <w:r w:rsidRPr="000A0AA3">
        <w:rPr>
          <w:rFonts w:ascii="Geometr706 Md TL" w:hAnsi="Geometr706 Md TL"/>
          <w:sz w:val="20"/>
          <w:szCs w:val="20"/>
        </w:rPr>
        <w:t xml:space="preserve">3 valsts metroloģiskās uzraudzības projekti tādās jomās kā medicīnas neautomātiskie svari, elektroenerģijas un siltumenerģijas skaitītāji, </w:t>
      </w:r>
      <w:r w:rsidRPr="000A0AA3">
        <w:rPr>
          <w:rFonts w:ascii="Geometr706 Md TL" w:hAnsi="Geometr706 Md TL"/>
          <w:i/>
          <w:sz w:val="20"/>
          <w:szCs w:val="20"/>
        </w:rPr>
        <w:t>POS</w:t>
      </w:r>
      <w:r w:rsidRPr="000A0AA3">
        <w:rPr>
          <w:rFonts w:ascii="Geometr706 Md TL" w:hAnsi="Geometr706 Md TL"/>
          <w:sz w:val="20"/>
          <w:szCs w:val="20"/>
        </w:rPr>
        <w:t xml:space="preserve"> sistēmas un fasētās garšvielu, kafijas, tējas preces.</w:t>
      </w:r>
    </w:p>
    <w:p w:rsidR="00256E7F" w:rsidRPr="000A0AA3" w:rsidRDefault="00256E7F" w:rsidP="000A0AA3">
      <w:pPr>
        <w:pStyle w:val="ListParagraph"/>
        <w:numPr>
          <w:ilvl w:val="0"/>
          <w:numId w:val="49"/>
        </w:numPr>
        <w:tabs>
          <w:tab w:val="left" w:pos="993"/>
        </w:tabs>
        <w:spacing w:line="240" w:lineRule="auto"/>
        <w:ind w:left="0" w:firstLine="709"/>
        <w:rPr>
          <w:rFonts w:ascii="Geometr706 Md TL" w:hAnsi="Geometr706 Md TL"/>
          <w:sz w:val="20"/>
          <w:szCs w:val="20"/>
        </w:rPr>
      </w:pPr>
      <w:r w:rsidRPr="000A0AA3">
        <w:rPr>
          <w:rFonts w:ascii="Geometr706 Md TL" w:hAnsi="Geometr706 Md TL"/>
          <w:sz w:val="20"/>
          <w:szCs w:val="20"/>
        </w:rPr>
        <w:t>cenu paralēlās atspoguļošanas uzraudzības projekts pēc eiro ieviešanas.</w:t>
      </w:r>
    </w:p>
    <w:p w:rsidR="000A0AA3" w:rsidRPr="000A0AA3" w:rsidRDefault="000A0AA3" w:rsidP="000A0AA3">
      <w:pPr>
        <w:pStyle w:val="ListParagraph"/>
        <w:tabs>
          <w:tab w:val="left" w:pos="993"/>
        </w:tabs>
        <w:spacing w:line="240" w:lineRule="auto"/>
        <w:ind w:left="709"/>
        <w:rPr>
          <w:rFonts w:ascii="Geometr706 Md TL" w:hAnsi="Geometr706 Md TL"/>
          <w:sz w:val="20"/>
          <w:szCs w:val="20"/>
        </w:rPr>
      </w:pPr>
    </w:p>
    <w:p w:rsidR="00256E7F" w:rsidRPr="000A0AA3" w:rsidRDefault="00256E7F" w:rsidP="00256E7F">
      <w:pPr>
        <w:spacing w:line="240" w:lineRule="auto"/>
        <w:ind w:right="41"/>
        <w:rPr>
          <w:rFonts w:ascii="Geometr706 Md TL" w:hAnsi="Geometr706 Md TL"/>
          <w:b/>
          <w:bCs/>
          <w:sz w:val="20"/>
          <w:szCs w:val="20"/>
        </w:rPr>
      </w:pPr>
      <w:r w:rsidRPr="000A0AA3">
        <w:rPr>
          <w:rFonts w:ascii="Geometr706 Md TL" w:hAnsi="Geometr706 Md TL"/>
          <w:b/>
          <w:bCs/>
          <w:sz w:val="20"/>
          <w:szCs w:val="20"/>
        </w:rPr>
        <w:t>Sūdzību izskatīšana un patērē</w:t>
      </w:r>
      <w:r w:rsidR="000A0AA3">
        <w:rPr>
          <w:rFonts w:ascii="Geometr706 Md TL" w:hAnsi="Geometr706 Md TL"/>
          <w:b/>
          <w:bCs/>
          <w:sz w:val="20"/>
          <w:szCs w:val="20"/>
        </w:rPr>
        <w:t>tāju un komersantu konsultēšana</w:t>
      </w:r>
    </w:p>
    <w:p w:rsidR="00256E7F" w:rsidRPr="000A0AA3" w:rsidRDefault="00256E7F" w:rsidP="000A0AA3">
      <w:pPr>
        <w:spacing w:line="240" w:lineRule="auto"/>
        <w:ind w:right="41" w:firstLine="720"/>
        <w:rPr>
          <w:rFonts w:ascii="Geometr706 Md TL" w:hAnsi="Geometr706 Md TL"/>
          <w:sz w:val="20"/>
          <w:szCs w:val="20"/>
        </w:rPr>
      </w:pPr>
      <w:r w:rsidRPr="000A0AA3">
        <w:rPr>
          <w:rFonts w:ascii="Geometr706 Md TL" w:hAnsi="Geometr706 Md TL"/>
          <w:sz w:val="20"/>
          <w:szCs w:val="20"/>
        </w:rPr>
        <w:t>Plānots izskatīt 1800 individuālo patērētāju sūdzību un 210 patērētāju pārrobežu iesniegumu un sūdzību, sniegt 35 000 konsultāciju patērētājiem un juridiskām personām, kā arī 550 konsultāciju patērētāji</w:t>
      </w:r>
      <w:r w:rsidR="000A0AA3">
        <w:rPr>
          <w:rFonts w:ascii="Geometr706 Md TL" w:hAnsi="Geometr706 Md TL"/>
          <w:sz w:val="20"/>
          <w:szCs w:val="20"/>
        </w:rPr>
        <w:t>em pārrobežu strīdus gadījumos.</w:t>
      </w:r>
    </w:p>
    <w:p w:rsidR="00256E7F" w:rsidRPr="000A0AA3" w:rsidRDefault="00256E7F" w:rsidP="00256E7F">
      <w:pPr>
        <w:spacing w:line="240" w:lineRule="auto"/>
        <w:ind w:right="41"/>
        <w:rPr>
          <w:rFonts w:ascii="Geometr706 Md TL" w:hAnsi="Geometr706 Md TL"/>
          <w:b/>
          <w:bCs/>
          <w:sz w:val="20"/>
          <w:szCs w:val="20"/>
        </w:rPr>
      </w:pPr>
      <w:r w:rsidRPr="000A0AA3">
        <w:rPr>
          <w:rFonts w:ascii="Geometr706 Md TL" w:hAnsi="Geometr706 Md TL"/>
          <w:b/>
          <w:bCs/>
          <w:sz w:val="20"/>
          <w:szCs w:val="20"/>
        </w:rPr>
        <w:t xml:space="preserve">Patērētāju </w:t>
      </w:r>
      <w:r w:rsidR="000A0AA3">
        <w:rPr>
          <w:rFonts w:ascii="Geometr706 Md TL" w:hAnsi="Geometr706 Md TL"/>
          <w:b/>
          <w:bCs/>
          <w:sz w:val="20"/>
          <w:szCs w:val="20"/>
        </w:rPr>
        <w:t>ekonomisko interešu aizsardzība</w:t>
      </w:r>
    </w:p>
    <w:p w:rsidR="00256E7F" w:rsidRPr="000A0AA3" w:rsidRDefault="00256E7F" w:rsidP="00256E7F">
      <w:pPr>
        <w:spacing w:line="240" w:lineRule="auto"/>
        <w:ind w:right="41" w:firstLine="709"/>
        <w:rPr>
          <w:rFonts w:ascii="Geometr706 Md TL" w:hAnsi="Geometr706 Md TL"/>
          <w:sz w:val="20"/>
          <w:szCs w:val="20"/>
        </w:rPr>
      </w:pPr>
      <w:r w:rsidRPr="000A0AA3">
        <w:rPr>
          <w:rFonts w:ascii="Geometr706 Md TL" w:hAnsi="Geometr706 Md TL"/>
          <w:sz w:val="20"/>
          <w:szCs w:val="20"/>
        </w:rPr>
        <w:t>Plānotās prioritātes un aktivitātes:</w:t>
      </w:r>
    </w:p>
    <w:p w:rsidR="00256E7F" w:rsidRPr="000A0AA3" w:rsidRDefault="00256E7F" w:rsidP="00256E7F">
      <w:pPr>
        <w:pStyle w:val="ListParagraph"/>
        <w:numPr>
          <w:ilvl w:val="0"/>
          <w:numId w:val="48"/>
        </w:numPr>
        <w:tabs>
          <w:tab w:val="left" w:pos="993"/>
        </w:tabs>
        <w:spacing w:line="240" w:lineRule="auto"/>
        <w:ind w:left="0" w:right="41" w:firstLine="709"/>
        <w:rPr>
          <w:rFonts w:ascii="Geometr706 Md TL" w:hAnsi="Geometr706 Md TL"/>
          <w:sz w:val="20"/>
          <w:szCs w:val="20"/>
        </w:rPr>
      </w:pPr>
      <w:r w:rsidRPr="000A0AA3">
        <w:rPr>
          <w:rFonts w:ascii="Geometr706 Md TL" w:hAnsi="Geometr706 Md TL"/>
          <w:sz w:val="20"/>
          <w:szCs w:val="20"/>
        </w:rPr>
        <w:t>īstenot 10 patērētāju ekonomisko interešu aizsardzības uzraudzības projektus tādās jomās kā komercprakse, norādot aviobiļešu cenas tiešsaistē, piedāvājot uztura bagātinātājus, patērētāju kreditēšanas komercprakse, komercprakse un līguma noteikumi, patērētājiem piedāvājot elektroenerģijas, automašīnu nomas, autoskolu, kolektīvās iepirkšanās tiešsaistes pakalpojumus, īstenotā komercprakse cenu salīdzināšanas mājaslapās, komercprakse atkritumu apsaimniekošanā, komplekso tūrisma pakalpojumu sniedzēju patērētājiem sniegtās drošības garantijas un piedāvātie līguma noteikumi, preču un pakalpojumu cenu norādīšanas komercprakse saistībā ar eiro ieviešanu un ārpus pastāvīgās tirdzniecības vai pakalpojumu sniegšanas vietas īstenotā komercprakse;</w:t>
      </w:r>
    </w:p>
    <w:p w:rsidR="00256E7F" w:rsidRPr="000A0AA3" w:rsidRDefault="00256E7F" w:rsidP="00256E7F">
      <w:pPr>
        <w:pStyle w:val="ListParagraph"/>
        <w:numPr>
          <w:ilvl w:val="0"/>
          <w:numId w:val="48"/>
        </w:numPr>
        <w:tabs>
          <w:tab w:val="left" w:pos="993"/>
        </w:tabs>
        <w:spacing w:line="240" w:lineRule="auto"/>
        <w:ind w:left="0" w:right="41" w:firstLine="709"/>
        <w:rPr>
          <w:rFonts w:ascii="Geometr706 Md TL" w:hAnsi="Geometr706 Md TL"/>
          <w:sz w:val="20"/>
          <w:szCs w:val="20"/>
        </w:rPr>
      </w:pPr>
      <w:r w:rsidRPr="000A0AA3">
        <w:rPr>
          <w:rFonts w:ascii="Geometr706 Md TL" w:hAnsi="Geometr706 Md TL"/>
          <w:sz w:val="20"/>
          <w:szCs w:val="20"/>
        </w:rPr>
        <w:t>izskatīt 175 administratīvās lietas par patērētāju kolektīvo interešu pārkāpumiem reklāmas, e-komercijas un netaisnīgas komercprakses jomā;</w:t>
      </w:r>
    </w:p>
    <w:p w:rsidR="00256E7F" w:rsidRPr="000A0AA3" w:rsidRDefault="00256E7F" w:rsidP="00256E7F">
      <w:pPr>
        <w:pStyle w:val="ListParagraph"/>
        <w:numPr>
          <w:ilvl w:val="0"/>
          <w:numId w:val="48"/>
        </w:numPr>
        <w:tabs>
          <w:tab w:val="left" w:pos="993"/>
        </w:tabs>
        <w:spacing w:line="240" w:lineRule="auto"/>
        <w:ind w:left="0" w:right="41" w:firstLine="709"/>
        <w:rPr>
          <w:rFonts w:ascii="Geometr706 Md TL" w:hAnsi="Geometr706 Md TL"/>
          <w:sz w:val="20"/>
          <w:szCs w:val="20"/>
        </w:rPr>
      </w:pPr>
      <w:proofErr w:type="spellStart"/>
      <w:r w:rsidRPr="000A0AA3">
        <w:rPr>
          <w:rFonts w:ascii="Geometr706 Md TL" w:hAnsi="Geometr706 Md TL"/>
          <w:sz w:val="20"/>
          <w:szCs w:val="20"/>
        </w:rPr>
        <w:t>kredītdevēju</w:t>
      </w:r>
      <w:proofErr w:type="spellEnd"/>
      <w:r w:rsidRPr="000A0AA3">
        <w:rPr>
          <w:rFonts w:ascii="Geometr706 Md TL" w:hAnsi="Geometr706 Md TL"/>
          <w:sz w:val="20"/>
          <w:szCs w:val="20"/>
        </w:rPr>
        <w:t xml:space="preserve">, kas neatbilst kredītiestādes statusam, un parāda atgūšanas pakalpojumu sniedzēju licencēšana un licenču pārreģistrācija, kā arī </w:t>
      </w:r>
      <w:r w:rsidRPr="000A0AA3">
        <w:rPr>
          <w:rFonts w:ascii="Geometr706 Md TL" w:hAnsi="Geometr706 Md TL"/>
          <w:bCs/>
          <w:sz w:val="20"/>
          <w:szCs w:val="20"/>
        </w:rPr>
        <w:t xml:space="preserve">veikt regulāra </w:t>
      </w:r>
      <w:r w:rsidRPr="000A0AA3">
        <w:rPr>
          <w:rFonts w:ascii="Geometr706 Md TL" w:hAnsi="Geometr706 Md TL"/>
          <w:sz w:val="20"/>
          <w:szCs w:val="20"/>
        </w:rPr>
        <w:t>darbības uzraudzība.</w:t>
      </w:r>
    </w:p>
    <w:p w:rsidR="00256E7F" w:rsidRPr="00256E7F" w:rsidRDefault="00256E7F" w:rsidP="00256E7F">
      <w:pPr>
        <w:spacing w:line="240" w:lineRule="auto"/>
        <w:rPr>
          <w:rFonts w:ascii="Geometr706 Md TL" w:hAnsi="Geometr706 Md TL"/>
          <w:webHidden/>
        </w:rPr>
      </w:pPr>
    </w:p>
    <w:p w:rsidR="003179A2" w:rsidRDefault="003179A2">
      <w:pPr>
        <w:rPr>
          <w:rFonts w:ascii="Geometr706 Md TL" w:eastAsiaTheme="majorEastAsia" w:hAnsi="Geometr706 Md TL" w:cs="Times New Roman"/>
          <w:b/>
          <w:bCs/>
          <w:noProof/>
          <w:sz w:val="28"/>
          <w:szCs w:val="28"/>
          <w:lang w:eastAsia="lv-LV"/>
        </w:rPr>
      </w:pPr>
      <w:bookmarkStart w:id="118" w:name="_5.2._Plānotie_sadarbības"/>
      <w:bookmarkStart w:id="119" w:name="_Toc380143894"/>
      <w:bookmarkStart w:id="120" w:name="_Toc380147134"/>
      <w:bookmarkStart w:id="121" w:name="_Toc392836120"/>
      <w:bookmarkEnd w:id="118"/>
      <w:r>
        <w:rPr>
          <w:rFonts w:ascii="Geometr706 Md TL" w:hAnsi="Geometr706 Md TL" w:cs="Times New Roman"/>
          <w:noProof/>
          <w:sz w:val="28"/>
          <w:szCs w:val="28"/>
        </w:rPr>
        <w:br w:type="page"/>
      </w:r>
    </w:p>
    <w:p w:rsidR="00256E7F" w:rsidRPr="00256E7F" w:rsidRDefault="00256E7F" w:rsidP="00256E7F">
      <w:pPr>
        <w:pStyle w:val="Heading2"/>
        <w:spacing w:before="0" w:line="240" w:lineRule="auto"/>
        <w:jc w:val="center"/>
        <w:rPr>
          <w:rFonts w:ascii="Geometr706 Md TL" w:hAnsi="Geometr706 Md TL" w:cs="Times New Roman"/>
          <w:noProof/>
          <w:color w:val="auto"/>
          <w:sz w:val="28"/>
          <w:szCs w:val="28"/>
        </w:rPr>
      </w:pPr>
      <w:r w:rsidRPr="00256E7F">
        <w:rPr>
          <w:rFonts w:ascii="Geometr706 Md TL" w:hAnsi="Geometr706 Md TL" w:cs="Times New Roman"/>
          <w:noProof/>
          <w:color w:val="auto"/>
          <w:sz w:val="28"/>
          <w:szCs w:val="28"/>
        </w:rPr>
        <w:lastRenderedPageBreak/>
        <w:t>5.2.</w:t>
      </w:r>
      <w:r w:rsidRPr="00256E7F">
        <w:rPr>
          <w:rFonts w:ascii="Geometr706 Md TL" w:eastAsiaTheme="minorEastAsia" w:hAnsi="Geometr706 Md TL" w:cs="Times New Roman"/>
          <w:noProof/>
          <w:color w:val="auto"/>
          <w:sz w:val="28"/>
          <w:szCs w:val="28"/>
        </w:rPr>
        <w:t> </w:t>
      </w:r>
      <w:r w:rsidRPr="00256E7F">
        <w:rPr>
          <w:rFonts w:ascii="Geometr706 Md TL" w:hAnsi="Geometr706 Md TL" w:cs="Times New Roman"/>
          <w:noProof/>
          <w:color w:val="auto"/>
          <w:sz w:val="28"/>
          <w:szCs w:val="28"/>
        </w:rPr>
        <w:t>Plānotie sadarbības projekti</w:t>
      </w:r>
      <w:bookmarkEnd w:id="119"/>
      <w:bookmarkEnd w:id="120"/>
      <w:bookmarkEnd w:id="121"/>
    </w:p>
    <w:p w:rsidR="00256E7F" w:rsidRPr="000A0AA3" w:rsidRDefault="00256E7F" w:rsidP="000A0AA3">
      <w:pPr>
        <w:jc w:val="both"/>
        <w:rPr>
          <w:rFonts w:ascii="Geometr706 Md TL" w:hAnsi="Geometr706 Md TL"/>
          <w:sz w:val="20"/>
          <w:szCs w:val="20"/>
        </w:rPr>
      </w:pPr>
    </w:p>
    <w:p w:rsidR="00256E7F" w:rsidRPr="000A0AA3" w:rsidRDefault="00256E7F" w:rsidP="000A0AA3">
      <w:pPr>
        <w:spacing w:line="240" w:lineRule="auto"/>
        <w:ind w:right="41" w:firstLine="720"/>
        <w:jc w:val="both"/>
        <w:rPr>
          <w:rFonts w:ascii="Geometr706 Md TL" w:hAnsi="Geometr706 Md TL"/>
          <w:sz w:val="20"/>
          <w:szCs w:val="20"/>
        </w:rPr>
      </w:pPr>
      <w:r w:rsidRPr="000A0AA3">
        <w:rPr>
          <w:rFonts w:ascii="Geometr706 Md TL" w:hAnsi="Geometr706 Md TL"/>
          <w:sz w:val="20"/>
          <w:szCs w:val="20"/>
        </w:rPr>
        <w:t xml:space="preserve">2014. gadā PTAC piedalīsies EK finansētos un </w:t>
      </w:r>
      <w:r w:rsidRPr="000A0AA3">
        <w:rPr>
          <w:rFonts w:ascii="Geometr706 Md TL" w:hAnsi="Geometr706 Md TL"/>
          <w:i/>
          <w:sz w:val="20"/>
          <w:szCs w:val="20"/>
        </w:rPr>
        <w:t>PROSAFE</w:t>
      </w:r>
      <w:r w:rsidRPr="000A0AA3">
        <w:rPr>
          <w:rFonts w:ascii="Geometr706 Md TL" w:hAnsi="Geometr706 Md TL"/>
          <w:sz w:val="20"/>
          <w:szCs w:val="20"/>
        </w:rPr>
        <w:t xml:space="preserve"> organizētos projektos, lai veiktu kopīgu ugunsdrošības detektoru un signalizācijas iekārtu, apģērba (konkrēti – ķīmisko vielu apģērbā), skrejriteņu un skuteru, kā arī bērnu augsto krēslu tirgus uzraudzību.</w:t>
      </w:r>
    </w:p>
    <w:p w:rsidR="00256E7F" w:rsidRPr="000A0AA3" w:rsidRDefault="00256E7F" w:rsidP="000A0AA3">
      <w:pPr>
        <w:spacing w:line="240" w:lineRule="auto"/>
        <w:ind w:right="41" w:firstLine="720"/>
        <w:jc w:val="both"/>
        <w:rPr>
          <w:rFonts w:ascii="Geometr706 Md TL" w:hAnsi="Geometr706 Md TL"/>
          <w:sz w:val="20"/>
          <w:szCs w:val="20"/>
        </w:rPr>
      </w:pPr>
      <w:r w:rsidRPr="000A0AA3">
        <w:rPr>
          <w:rFonts w:ascii="Geometr706 Md TL" w:hAnsi="Geometr706 Md TL"/>
          <w:sz w:val="20"/>
          <w:szCs w:val="20"/>
        </w:rPr>
        <w:t>2014. gadā PTAC sadarbībā ar Vides pārraudzības valsts biroju un Valsts vides dienestu plāno īstenot kopīgas aktivitātes bīstamo iekārtu uzraudzības jomā. Sadarbības ietvaros plānots veikt rūpniecisko avāriju novēršanas programmu un drošības pārskatu izvērtēšanu un īstenot kompleksas pārbaudes saistībā ar rūpniecisko avāriju riska novēršanu, sniedzot priekšlikumus komersantu darbības pilnveidei.</w:t>
      </w:r>
    </w:p>
    <w:p w:rsidR="00256E7F" w:rsidRPr="000A0AA3" w:rsidRDefault="00256E7F" w:rsidP="000A0AA3">
      <w:pPr>
        <w:autoSpaceDE w:val="0"/>
        <w:autoSpaceDN w:val="0"/>
        <w:spacing w:line="240" w:lineRule="auto"/>
        <w:ind w:firstLine="709"/>
        <w:jc w:val="both"/>
        <w:rPr>
          <w:rFonts w:ascii="Geometr706 Md TL" w:hAnsi="Geometr706 Md TL"/>
          <w:sz w:val="20"/>
          <w:szCs w:val="20"/>
          <w:highlight w:val="yellow"/>
        </w:rPr>
      </w:pPr>
      <w:r w:rsidRPr="000A0AA3">
        <w:rPr>
          <w:rFonts w:ascii="Geometr706 Md TL" w:hAnsi="Geometr706 Md TL"/>
          <w:color w:val="000000"/>
          <w:sz w:val="20"/>
          <w:szCs w:val="20"/>
        </w:rPr>
        <w:t>2014. gadā PTAC plāno i</w:t>
      </w:r>
      <w:r w:rsidRPr="000A0AA3">
        <w:rPr>
          <w:rFonts w:ascii="Geometr706 Md TL" w:hAnsi="Geometr706 Md TL"/>
          <w:sz w:val="20"/>
          <w:szCs w:val="20"/>
        </w:rPr>
        <w:t>esaistīties dažādos informatīvajos pasākumos (tostarp patērētāju informēšanā) par elektroenerģijas tirgus atvēršanu</w:t>
      </w:r>
      <w:r w:rsidRPr="000A0AA3">
        <w:rPr>
          <w:rFonts w:ascii="Geometr706 Md TL" w:hAnsi="Geometr706 Md TL"/>
          <w:color w:val="000000"/>
          <w:sz w:val="20"/>
          <w:szCs w:val="20"/>
        </w:rPr>
        <w:t>, ir plānota arī informēšanas kampaņa par prasībām būvizstrādājumiem, kā arī patērētāju un komersantu izglītošana par pakalpojumu drošumu.</w:t>
      </w:r>
    </w:p>
    <w:p w:rsidR="00256E7F" w:rsidRPr="000A0AA3" w:rsidRDefault="00256E7F" w:rsidP="000A0AA3">
      <w:pPr>
        <w:autoSpaceDE w:val="0"/>
        <w:autoSpaceDN w:val="0"/>
        <w:spacing w:line="240" w:lineRule="auto"/>
        <w:ind w:firstLine="709"/>
        <w:jc w:val="both"/>
        <w:rPr>
          <w:rFonts w:ascii="Geometr706 Md TL" w:hAnsi="Geometr706 Md TL"/>
          <w:sz w:val="20"/>
          <w:szCs w:val="20"/>
        </w:rPr>
      </w:pPr>
      <w:r w:rsidRPr="000A0AA3">
        <w:rPr>
          <w:rFonts w:ascii="Geometr706 Md TL" w:hAnsi="Geometr706 Md TL"/>
          <w:sz w:val="20"/>
          <w:szCs w:val="20"/>
        </w:rPr>
        <w:t>2014. gadā PTAC turpinās ierasto tradīciju piedalīties VARAM organizētajā informatīvajā kampaņā „E-prasmju nedēļa 2014”.</w:t>
      </w:r>
    </w:p>
    <w:p w:rsidR="00256E7F" w:rsidRPr="000A0AA3" w:rsidRDefault="00256E7F" w:rsidP="000A0AA3">
      <w:pPr>
        <w:spacing w:line="240" w:lineRule="auto"/>
        <w:ind w:right="41" w:firstLine="709"/>
        <w:jc w:val="both"/>
        <w:rPr>
          <w:rFonts w:ascii="Geometr706 Md TL" w:hAnsi="Geometr706 Md TL"/>
          <w:sz w:val="20"/>
          <w:szCs w:val="20"/>
        </w:rPr>
      </w:pPr>
      <w:r w:rsidRPr="000A0AA3">
        <w:rPr>
          <w:rFonts w:ascii="Geometr706 Md TL" w:hAnsi="Geometr706 Md TL"/>
          <w:sz w:val="20"/>
          <w:szCs w:val="20"/>
        </w:rPr>
        <w:t xml:space="preserve">PTAC turpinās aktīvu dalību </w:t>
      </w:r>
      <w:r w:rsidRPr="000A0AA3">
        <w:rPr>
          <w:rFonts w:ascii="Geometr706 Md TL" w:hAnsi="Geometr706 Md TL"/>
          <w:i/>
          <w:sz w:val="20"/>
          <w:szCs w:val="20"/>
        </w:rPr>
        <w:t>ICPEN</w:t>
      </w:r>
      <w:r w:rsidRPr="000A0AA3">
        <w:rPr>
          <w:rFonts w:ascii="Geometr706 Md TL" w:hAnsi="Geometr706 Md TL"/>
          <w:sz w:val="20"/>
          <w:szCs w:val="20"/>
        </w:rPr>
        <w:t xml:space="preserve"> tīklā un Eiropas uzraudzības iestāžu sadarbības tīklā </w:t>
      </w:r>
      <w:r w:rsidRPr="000A0AA3">
        <w:rPr>
          <w:rFonts w:ascii="Geometr706 Md TL" w:hAnsi="Geometr706 Md TL"/>
          <w:i/>
          <w:sz w:val="20"/>
          <w:szCs w:val="20"/>
        </w:rPr>
        <w:t>CPC</w:t>
      </w:r>
      <w:r w:rsidRPr="000A0AA3">
        <w:rPr>
          <w:rFonts w:ascii="Geometr706 Md TL" w:hAnsi="Geometr706 Md TL"/>
          <w:sz w:val="20"/>
          <w:szCs w:val="20"/>
        </w:rPr>
        <w:t>, lai nodrošinātu pēc iespējas efektīvāku patērētāju tiesību, īpaši pārrobežu, pārkāpumu novēršanu.</w:t>
      </w:r>
    </w:p>
    <w:p w:rsidR="0038735E" w:rsidRPr="00256E7F" w:rsidRDefault="0038735E">
      <w:pPr>
        <w:rPr>
          <w:rFonts w:ascii="Geometr706 Md TL" w:hAnsi="Geometr706 Md TL"/>
        </w:rPr>
      </w:pPr>
    </w:p>
    <w:sectPr w:rsidR="0038735E" w:rsidRPr="00256E7F" w:rsidSect="00256E7F">
      <w:type w:val="continuous"/>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CAD" w:rsidRDefault="00C46CAD" w:rsidP="00076CDA">
      <w:pPr>
        <w:spacing w:after="0" w:line="240" w:lineRule="auto"/>
      </w:pPr>
      <w:r>
        <w:separator/>
      </w:r>
    </w:p>
  </w:endnote>
  <w:endnote w:type="continuationSeparator" w:id="0">
    <w:p w:rsidR="00C46CAD" w:rsidRDefault="00C46CAD" w:rsidP="00076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Geometr706 Md TL">
    <w:altName w:val="Century Gothic"/>
    <w:charset w:val="BA"/>
    <w:family w:val="swiss"/>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0000000000000000000"/>
    <w:charset w:val="80"/>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9A2" w:rsidRDefault="003179A2" w:rsidP="00076CDA">
    <w:pPr>
      <w:pStyle w:val="Footer"/>
      <w:tabs>
        <w:tab w:val="clear" w:pos="4153"/>
        <w:tab w:val="center" w:pos="4962"/>
        <w:tab w:val="left" w:pos="5103"/>
        <w:tab w:val="left" w:pos="9639"/>
      </w:tabs>
    </w:pPr>
    <w:r>
      <w:rPr>
        <w:noProof/>
        <w:lang w:eastAsia="lv-LV"/>
      </w:rPr>
      <w:drawing>
        <wp:anchor distT="0" distB="0" distL="114300" distR="114300" simplePos="0" relativeHeight="251658240" behindDoc="1" locked="0" layoutInCell="1" allowOverlap="1" wp14:anchorId="5BF84813" wp14:editId="5EF1D92B">
          <wp:simplePos x="0" y="0"/>
          <wp:positionH relativeFrom="column">
            <wp:posOffset>-2445096</wp:posOffset>
          </wp:positionH>
          <wp:positionV relativeFrom="paragraph">
            <wp:posOffset>-165735</wp:posOffset>
          </wp:positionV>
          <wp:extent cx="9882473" cy="623455"/>
          <wp:effectExtent l="0" t="0" r="0"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u-b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82473" cy="62345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9A2" w:rsidRDefault="003179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CAD" w:rsidRDefault="00C46CAD" w:rsidP="00076CDA">
      <w:pPr>
        <w:spacing w:after="0" w:line="240" w:lineRule="auto"/>
      </w:pPr>
      <w:r>
        <w:separator/>
      </w:r>
    </w:p>
  </w:footnote>
  <w:footnote w:type="continuationSeparator" w:id="0">
    <w:p w:rsidR="00C46CAD" w:rsidRDefault="00C46CAD" w:rsidP="00076CDA">
      <w:pPr>
        <w:spacing w:after="0" w:line="240" w:lineRule="auto"/>
      </w:pPr>
      <w:r>
        <w:continuationSeparator/>
      </w:r>
    </w:p>
  </w:footnote>
  <w:footnote w:id="1">
    <w:p w:rsidR="003179A2" w:rsidRPr="00BA0294" w:rsidRDefault="003179A2" w:rsidP="00256E7F">
      <w:pPr>
        <w:pStyle w:val="FootnoteText"/>
        <w:jc w:val="both"/>
        <w:rPr>
          <w:rFonts w:ascii="Times New Roman" w:eastAsia="Arial Unicode MS" w:hAnsi="Times New Roman"/>
        </w:rPr>
      </w:pPr>
      <w:r w:rsidRPr="00BA0294">
        <w:rPr>
          <w:rStyle w:val="FootnoteReference"/>
          <w:rFonts w:ascii="Times New Roman" w:eastAsia="Arial Unicode MS" w:hAnsi="Times New Roman"/>
        </w:rPr>
        <w:footnoteRef/>
      </w:r>
      <w:r>
        <w:rPr>
          <w:rFonts w:ascii="Times New Roman" w:eastAsia="Arial Unicode MS" w:hAnsi="Times New Roman"/>
        </w:rPr>
        <w:t> </w:t>
      </w:r>
      <w:r w:rsidRPr="00BA0294">
        <w:rPr>
          <w:rFonts w:ascii="Times New Roman" w:eastAsia="Arial Unicode MS" w:hAnsi="Times New Roman"/>
        </w:rPr>
        <w:t>Sīkāk ar uzraudzības projekta virzību un galvenajiem projekt</w:t>
      </w:r>
      <w:r>
        <w:rPr>
          <w:rFonts w:ascii="Times New Roman" w:eastAsia="Arial Unicode MS" w:hAnsi="Times New Roman"/>
        </w:rPr>
        <w:t>a gait</w:t>
      </w:r>
      <w:r w:rsidRPr="00BA0294">
        <w:rPr>
          <w:rFonts w:ascii="Times New Roman" w:eastAsia="Arial Unicode MS" w:hAnsi="Times New Roman"/>
        </w:rPr>
        <w:t>ā konstatētajiem pārkāpumiem var iepazīties projekt</w:t>
      </w:r>
      <w:r>
        <w:rPr>
          <w:rFonts w:ascii="Times New Roman" w:eastAsia="Arial Unicode MS" w:hAnsi="Times New Roman"/>
        </w:rPr>
        <w:t>a</w:t>
      </w:r>
      <w:r w:rsidRPr="00BA0294">
        <w:rPr>
          <w:rFonts w:ascii="Times New Roman" w:eastAsia="Arial Unicode MS" w:hAnsi="Times New Roman"/>
        </w:rPr>
        <w:t xml:space="preserve"> pārskatā PTAC mājaslapas sadaļā „Aktualitātes”.</w:t>
      </w:r>
    </w:p>
  </w:footnote>
  <w:footnote w:id="2">
    <w:p w:rsidR="003179A2" w:rsidRPr="00BA0294" w:rsidRDefault="003179A2" w:rsidP="00256E7F">
      <w:pPr>
        <w:pStyle w:val="FootnoteText"/>
        <w:jc w:val="both"/>
        <w:rPr>
          <w:rFonts w:ascii="Times New Roman" w:hAnsi="Times New Roman"/>
        </w:rPr>
      </w:pPr>
      <w:r w:rsidRPr="00BA0294">
        <w:rPr>
          <w:rStyle w:val="FootnoteReference"/>
          <w:rFonts w:ascii="Times New Roman" w:hAnsi="Times New Roman"/>
        </w:rPr>
        <w:footnoteRef/>
      </w:r>
      <w:r>
        <w:rPr>
          <w:rFonts w:ascii="Times New Roman" w:hAnsi="Times New Roman"/>
        </w:rPr>
        <w:t> </w:t>
      </w:r>
      <w:r w:rsidRPr="00BA0294">
        <w:rPr>
          <w:rFonts w:ascii="Times New Roman" w:hAnsi="Times New Roman"/>
        </w:rPr>
        <w:t>Komersantu iesniegt</w:t>
      </w:r>
      <w:r>
        <w:rPr>
          <w:rFonts w:ascii="Times New Roman" w:hAnsi="Times New Roman"/>
        </w:rPr>
        <w:t>ās rakstveida apņemšanās</w:t>
      </w:r>
      <w:r w:rsidRPr="00BA0294">
        <w:rPr>
          <w:rFonts w:ascii="Times New Roman" w:hAnsi="Times New Roman"/>
        </w:rPr>
        <w:t xml:space="preserve"> var iz</w:t>
      </w:r>
      <w:r>
        <w:rPr>
          <w:rFonts w:ascii="Times New Roman" w:hAnsi="Times New Roman"/>
        </w:rPr>
        <w:t>las</w:t>
      </w:r>
      <w:r w:rsidRPr="00BA0294">
        <w:rPr>
          <w:rFonts w:ascii="Times New Roman" w:hAnsi="Times New Roman"/>
        </w:rPr>
        <w:t>īt</w:t>
      </w:r>
      <w:r>
        <w:rPr>
          <w:rFonts w:ascii="Times New Roman" w:hAnsi="Times New Roman"/>
        </w:rPr>
        <w:t xml:space="preserve"> PTAC </w:t>
      </w:r>
      <w:proofErr w:type="spellStart"/>
      <w:r>
        <w:rPr>
          <w:rFonts w:ascii="Times New Roman" w:hAnsi="Times New Roman"/>
        </w:rPr>
        <w:t>mājas</w:t>
      </w:r>
      <w:r w:rsidRPr="00BA0294">
        <w:rPr>
          <w:rFonts w:ascii="Times New Roman" w:hAnsi="Times New Roman"/>
        </w:rPr>
        <w:t>lap</w:t>
      </w:r>
      <w:r>
        <w:rPr>
          <w:rFonts w:ascii="Times New Roman" w:hAnsi="Times New Roman"/>
        </w:rPr>
        <w:t>as</w:t>
      </w:r>
      <w:proofErr w:type="spellEnd"/>
      <w:r w:rsidRPr="00BA0294">
        <w:rPr>
          <w:rFonts w:ascii="Times New Roman" w:hAnsi="Times New Roman"/>
        </w:rPr>
        <w:t xml:space="preserve"> </w:t>
      </w:r>
      <w:proofErr w:type="spellStart"/>
      <w:r w:rsidRPr="00412836">
        <w:rPr>
          <w:rFonts w:ascii="Times New Roman" w:hAnsi="Times New Roman"/>
          <w:i/>
        </w:rPr>
        <w:t>www.ptac.gov.lv</w:t>
      </w:r>
      <w:proofErr w:type="spellEnd"/>
      <w:r w:rsidRPr="00BA0294">
        <w:rPr>
          <w:rFonts w:ascii="Times New Roman" w:hAnsi="Times New Roman"/>
        </w:rPr>
        <w:t xml:space="preserve"> sadaļā „Rakstveida apņemšanās”.</w:t>
      </w:r>
    </w:p>
  </w:footnote>
  <w:footnote w:id="3">
    <w:p w:rsidR="003179A2" w:rsidRPr="00A028EB" w:rsidRDefault="003179A2" w:rsidP="00256E7F">
      <w:pPr>
        <w:pStyle w:val="FootnoteText"/>
        <w:jc w:val="both"/>
        <w:rPr>
          <w:rFonts w:ascii="Times New Roman" w:hAnsi="Times New Roman"/>
        </w:rPr>
      </w:pPr>
      <w:r w:rsidRPr="00A028EB">
        <w:rPr>
          <w:rStyle w:val="FootnoteReference"/>
          <w:rFonts w:ascii="Times New Roman" w:hAnsi="Times New Roman"/>
        </w:rPr>
        <w:footnoteRef/>
      </w:r>
      <w:r>
        <w:rPr>
          <w:rFonts w:ascii="Times New Roman" w:hAnsi="Times New Roman"/>
        </w:rPr>
        <w:t> </w:t>
      </w:r>
      <w:r w:rsidRPr="00A028EB">
        <w:rPr>
          <w:rFonts w:ascii="Times New Roman" w:hAnsi="Times New Roman"/>
        </w:rPr>
        <w:t>Komersantu iesniegt</w:t>
      </w:r>
      <w:r>
        <w:rPr>
          <w:rFonts w:ascii="Times New Roman" w:hAnsi="Times New Roman"/>
        </w:rPr>
        <w:t>ās</w:t>
      </w:r>
      <w:r w:rsidRPr="00A028EB">
        <w:rPr>
          <w:rFonts w:ascii="Times New Roman" w:hAnsi="Times New Roman"/>
        </w:rPr>
        <w:t xml:space="preserve"> rakstveida apņemšanā</w:t>
      </w:r>
      <w:r>
        <w:rPr>
          <w:rFonts w:ascii="Times New Roman" w:hAnsi="Times New Roman"/>
        </w:rPr>
        <w:t>s</w:t>
      </w:r>
      <w:r w:rsidRPr="00A028EB">
        <w:rPr>
          <w:rFonts w:ascii="Times New Roman" w:hAnsi="Times New Roman"/>
        </w:rPr>
        <w:t xml:space="preserve"> var iz</w:t>
      </w:r>
      <w:r>
        <w:rPr>
          <w:rFonts w:ascii="Times New Roman" w:hAnsi="Times New Roman"/>
        </w:rPr>
        <w:t>las</w:t>
      </w:r>
      <w:r w:rsidRPr="00A028EB">
        <w:rPr>
          <w:rFonts w:ascii="Times New Roman" w:hAnsi="Times New Roman"/>
        </w:rPr>
        <w:t>īt</w:t>
      </w:r>
      <w:r>
        <w:rPr>
          <w:rFonts w:ascii="Times New Roman" w:hAnsi="Times New Roman"/>
        </w:rPr>
        <w:t xml:space="preserve"> PTAC </w:t>
      </w:r>
      <w:proofErr w:type="spellStart"/>
      <w:r>
        <w:rPr>
          <w:rFonts w:ascii="Times New Roman" w:hAnsi="Times New Roman"/>
        </w:rPr>
        <w:t>mājas</w:t>
      </w:r>
      <w:r w:rsidRPr="00A028EB">
        <w:rPr>
          <w:rFonts w:ascii="Times New Roman" w:hAnsi="Times New Roman"/>
        </w:rPr>
        <w:t>lap</w:t>
      </w:r>
      <w:r>
        <w:rPr>
          <w:rFonts w:ascii="Times New Roman" w:hAnsi="Times New Roman"/>
        </w:rPr>
        <w:t>as</w:t>
      </w:r>
      <w:proofErr w:type="spellEnd"/>
      <w:r w:rsidRPr="00A028EB">
        <w:rPr>
          <w:rFonts w:ascii="Times New Roman" w:hAnsi="Times New Roman"/>
        </w:rPr>
        <w:t xml:space="preserve"> </w:t>
      </w:r>
      <w:proofErr w:type="spellStart"/>
      <w:r w:rsidRPr="002C48ED">
        <w:rPr>
          <w:rFonts w:ascii="Times New Roman" w:hAnsi="Times New Roman"/>
          <w:i/>
        </w:rPr>
        <w:t>www.ptac.gov.lv</w:t>
      </w:r>
      <w:proofErr w:type="spellEnd"/>
      <w:r w:rsidRPr="00A028EB">
        <w:rPr>
          <w:rFonts w:ascii="Times New Roman" w:hAnsi="Times New Roman"/>
        </w:rPr>
        <w:t xml:space="preserve"> sadaļā „Rakstveida apņemšanās”.</w:t>
      </w:r>
    </w:p>
  </w:footnote>
  <w:footnote w:id="4">
    <w:p w:rsidR="003179A2" w:rsidRPr="001B2E45" w:rsidRDefault="003179A2" w:rsidP="00256E7F">
      <w:pPr>
        <w:pStyle w:val="FootnoteText"/>
        <w:jc w:val="both"/>
        <w:rPr>
          <w:rFonts w:ascii="Times New Roman" w:eastAsia="Arial Unicode MS" w:hAnsi="Times New Roman"/>
        </w:rPr>
      </w:pPr>
      <w:r w:rsidRPr="001B2E45">
        <w:rPr>
          <w:rStyle w:val="FootnoteReference"/>
          <w:rFonts w:ascii="Times New Roman" w:eastAsia="Arial Unicode MS" w:hAnsi="Times New Roman"/>
        </w:rPr>
        <w:footnoteRef/>
      </w:r>
      <w:r>
        <w:rPr>
          <w:rFonts w:ascii="Times New Roman" w:eastAsia="Arial Unicode MS" w:hAnsi="Times New Roman"/>
        </w:rPr>
        <w:t> </w:t>
      </w:r>
      <w:r w:rsidRPr="001B2E45">
        <w:rPr>
          <w:rFonts w:ascii="Times New Roman" w:eastAsia="Arial Unicode MS" w:hAnsi="Times New Roman"/>
        </w:rPr>
        <w:t>Komersantu iesniegt</w:t>
      </w:r>
      <w:r>
        <w:rPr>
          <w:rFonts w:ascii="Times New Roman" w:eastAsia="Arial Unicode MS" w:hAnsi="Times New Roman"/>
        </w:rPr>
        <w:t>ās</w:t>
      </w:r>
      <w:r w:rsidRPr="001B2E45">
        <w:rPr>
          <w:rFonts w:ascii="Times New Roman" w:eastAsia="Arial Unicode MS" w:hAnsi="Times New Roman"/>
        </w:rPr>
        <w:t xml:space="preserve"> rakstveida apņemšanā</w:t>
      </w:r>
      <w:r>
        <w:rPr>
          <w:rFonts w:ascii="Times New Roman" w:eastAsia="Arial Unicode MS" w:hAnsi="Times New Roman"/>
        </w:rPr>
        <w:t>s</w:t>
      </w:r>
      <w:r w:rsidRPr="001B2E45">
        <w:rPr>
          <w:rFonts w:ascii="Times New Roman" w:eastAsia="Arial Unicode MS" w:hAnsi="Times New Roman"/>
        </w:rPr>
        <w:t xml:space="preserve"> var iz</w:t>
      </w:r>
      <w:r>
        <w:rPr>
          <w:rFonts w:ascii="Times New Roman" w:eastAsia="Arial Unicode MS" w:hAnsi="Times New Roman"/>
        </w:rPr>
        <w:t>las</w:t>
      </w:r>
      <w:r w:rsidRPr="001B2E45">
        <w:rPr>
          <w:rFonts w:ascii="Times New Roman" w:eastAsia="Arial Unicode MS" w:hAnsi="Times New Roman"/>
        </w:rPr>
        <w:t>īt</w:t>
      </w:r>
      <w:r>
        <w:rPr>
          <w:rFonts w:ascii="Times New Roman" w:eastAsia="Arial Unicode MS" w:hAnsi="Times New Roman"/>
        </w:rPr>
        <w:t xml:space="preserve"> PTAC </w:t>
      </w:r>
      <w:proofErr w:type="spellStart"/>
      <w:r>
        <w:rPr>
          <w:rFonts w:ascii="Times New Roman" w:eastAsia="Arial Unicode MS" w:hAnsi="Times New Roman"/>
        </w:rPr>
        <w:t>mājas</w:t>
      </w:r>
      <w:r w:rsidRPr="001B2E45">
        <w:rPr>
          <w:rFonts w:ascii="Times New Roman" w:eastAsia="Arial Unicode MS" w:hAnsi="Times New Roman"/>
        </w:rPr>
        <w:t>lap</w:t>
      </w:r>
      <w:r>
        <w:rPr>
          <w:rFonts w:ascii="Times New Roman" w:eastAsia="Arial Unicode MS" w:hAnsi="Times New Roman"/>
        </w:rPr>
        <w:t>as</w:t>
      </w:r>
      <w:proofErr w:type="spellEnd"/>
      <w:r w:rsidRPr="001B2E45">
        <w:rPr>
          <w:rFonts w:ascii="Times New Roman" w:eastAsia="Arial Unicode MS" w:hAnsi="Times New Roman"/>
        </w:rPr>
        <w:t xml:space="preserve"> </w:t>
      </w:r>
      <w:proofErr w:type="spellStart"/>
      <w:r w:rsidRPr="006D0F27">
        <w:rPr>
          <w:rFonts w:ascii="Times New Roman" w:eastAsia="Arial Unicode MS" w:hAnsi="Times New Roman"/>
          <w:i/>
        </w:rPr>
        <w:t>www.ptac.gov.lv</w:t>
      </w:r>
      <w:proofErr w:type="spellEnd"/>
      <w:r>
        <w:rPr>
          <w:rFonts w:ascii="Times New Roman" w:eastAsia="Arial Unicode MS" w:hAnsi="Times New Roman"/>
        </w:rPr>
        <w:t xml:space="preserve"> sadaļā „Rakstveida apņemšanās” </w:t>
      </w:r>
      <w:r w:rsidRPr="001B2E45">
        <w:rPr>
          <w:rFonts w:ascii="Times New Roman" w:eastAsia="Arial Unicode MS" w:hAnsi="Times New Roman"/>
        </w:rPr>
        <w:t>– „Apņemšanās par preču un pakalpojumu līguma noteikumiem”.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9281530"/>
      <w:docPartObj>
        <w:docPartGallery w:val="Page Numbers (Top of Page)"/>
        <w:docPartUnique/>
      </w:docPartObj>
    </w:sdtPr>
    <w:sdtEndPr>
      <w:rPr>
        <w:noProof/>
      </w:rPr>
    </w:sdtEndPr>
    <w:sdtContent>
      <w:p w:rsidR="003179A2" w:rsidRDefault="003179A2">
        <w:pPr>
          <w:pStyle w:val="Header"/>
          <w:jc w:val="center"/>
        </w:pPr>
        <w:r>
          <w:fldChar w:fldCharType="begin"/>
        </w:r>
        <w:r>
          <w:instrText xml:space="preserve"> PAGE   \* MERGEFORMAT </w:instrText>
        </w:r>
        <w:r>
          <w:fldChar w:fldCharType="separate"/>
        </w:r>
        <w:r w:rsidR="000C128D">
          <w:rPr>
            <w:noProof/>
          </w:rPr>
          <w:t>4</w:t>
        </w:r>
        <w:r>
          <w:rPr>
            <w:noProof/>
          </w:rPr>
          <w:fldChar w:fldCharType="end"/>
        </w:r>
      </w:p>
    </w:sdtContent>
  </w:sdt>
  <w:p w:rsidR="003179A2" w:rsidRDefault="003179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9A2" w:rsidRDefault="003179A2">
    <w:pPr>
      <w:pStyle w:val="Header"/>
      <w:jc w:val="center"/>
    </w:pPr>
  </w:p>
  <w:p w:rsidR="003179A2" w:rsidRDefault="003179A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9A2" w:rsidRDefault="003179A2">
    <w:pPr>
      <w:pStyle w:val="Header"/>
      <w:jc w:val="center"/>
    </w:pPr>
  </w:p>
  <w:p w:rsidR="003179A2" w:rsidRDefault="003179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86C35"/>
    <w:multiLevelType w:val="hybridMultilevel"/>
    <w:tmpl w:val="E9367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671C1B"/>
    <w:multiLevelType w:val="hybridMultilevel"/>
    <w:tmpl w:val="C712A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7F54C6"/>
    <w:multiLevelType w:val="hybridMultilevel"/>
    <w:tmpl w:val="E2D46E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F376E63"/>
    <w:multiLevelType w:val="hybridMultilevel"/>
    <w:tmpl w:val="909084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26A1965"/>
    <w:multiLevelType w:val="hybridMultilevel"/>
    <w:tmpl w:val="F2FEAFE2"/>
    <w:lvl w:ilvl="0" w:tplc="0426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B54DEE"/>
    <w:multiLevelType w:val="hybridMultilevel"/>
    <w:tmpl w:val="BF943214"/>
    <w:lvl w:ilvl="0" w:tplc="10090011">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
    <w:nsid w:val="17026C9F"/>
    <w:multiLevelType w:val="hybridMultilevel"/>
    <w:tmpl w:val="B7D04962"/>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3B7886"/>
    <w:multiLevelType w:val="hybridMultilevel"/>
    <w:tmpl w:val="1FCACEA4"/>
    <w:lvl w:ilvl="0" w:tplc="237CD3F6">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nsid w:val="179B5215"/>
    <w:multiLevelType w:val="hybridMultilevel"/>
    <w:tmpl w:val="5F98CA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929742A"/>
    <w:multiLevelType w:val="hybridMultilevel"/>
    <w:tmpl w:val="696CDAEC"/>
    <w:lvl w:ilvl="0" w:tplc="04090001">
      <w:start w:val="1"/>
      <w:numFmt w:val="bullet"/>
      <w:lvlText w:val=""/>
      <w:lvlJc w:val="left"/>
      <w:pPr>
        <w:ind w:left="1071" w:hanging="360"/>
      </w:pPr>
      <w:rPr>
        <w:rFonts w:ascii="Symbol" w:hAnsi="Symbol"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10">
    <w:nsid w:val="1B2B02FA"/>
    <w:multiLevelType w:val="hybridMultilevel"/>
    <w:tmpl w:val="CF22E3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1F147129"/>
    <w:multiLevelType w:val="hybridMultilevel"/>
    <w:tmpl w:val="E8E8915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nsid w:val="1FB50E1A"/>
    <w:multiLevelType w:val="hybridMultilevel"/>
    <w:tmpl w:val="90046D74"/>
    <w:lvl w:ilvl="0" w:tplc="65980760">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nsid w:val="200E6D84"/>
    <w:multiLevelType w:val="hybridMultilevel"/>
    <w:tmpl w:val="7C0E8946"/>
    <w:lvl w:ilvl="0" w:tplc="A41661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6C11F0"/>
    <w:multiLevelType w:val="hybridMultilevel"/>
    <w:tmpl w:val="9662CBB0"/>
    <w:lvl w:ilvl="0" w:tplc="98928DF0">
      <w:start w:val="2013"/>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213F266D"/>
    <w:multiLevelType w:val="hybridMultilevel"/>
    <w:tmpl w:val="D15661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21C4278C"/>
    <w:multiLevelType w:val="hybridMultilevel"/>
    <w:tmpl w:val="ACC82100"/>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32001C"/>
    <w:multiLevelType w:val="hybridMultilevel"/>
    <w:tmpl w:val="8D36BF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23A36C20"/>
    <w:multiLevelType w:val="hybridMultilevel"/>
    <w:tmpl w:val="BA8E4A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2966584D"/>
    <w:multiLevelType w:val="hybridMultilevel"/>
    <w:tmpl w:val="B07C042A"/>
    <w:lvl w:ilvl="0" w:tplc="0B64383A">
      <w:start w:val="16"/>
      <w:numFmt w:val="bullet"/>
      <w:lvlText w:val="-"/>
      <w:lvlJc w:val="left"/>
      <w:pPr>
        <w:ind w:left="1440" w:hanging="3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0">
    <w:nsid w:val="2C8A53DC"/>
    <w:multiLevelType w:val="hybridMultilevel"/>
    <w:tmpl w:val="DE946148"/>
    <w:lvl w:ilvl="0" w:tplc="009E1C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2DC76B8E"/>
    <w:multiLevelType w:val="hybridMultilevel"/>
    <w:tmpl w:val="CCC2D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2E547612"/>
    <w:multiLevelType w:val="hybridMultilevel"/>
    <w:tmpl w:val="8166A986"/>
    <w:lvl w:ilvl="0" w:tplc="0B64383A">
      <w:start w:val="16"/>
      <w:numFmt w:val="bullet"/>
      <w:lvlText w:val="-"/>
      <w:lvlJc w:val="left"/>
      <w:pPr>
        <w:ind w:left="1429" w:hanging="360"/>
      </w:pPr>
      <w:rPr>
        <w:rFonts w:ascii="Times New Roman" w:eastAsia="Times New Roman" w:hAnsi="Times New Roman" w:hint="default"/>
      </w:rPr>
    </w:lvl>
    <w:lvl w:ilvl="1" w:tplc="04260003">
      <w:start w:val="1"/>
      <w:numFmt w:val="bullet"/>
      <w:lvlText w:val="o"/>
      <w:lvlJc w:val="left"/>
      <w:pPr>
        <w:ind w:left="2149" w:hanging="360"/>
      </w:pPr>
      <w:rPr>
        <w:rFonts w:ascii="Courier New" w:hAnsi="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hint="default"/>
      </w:rPr>
    </w:lvl>
    <w:lvl w:ilvl="8" w:tplc="04260005">
      <w:start w:val="1"/>
      <w:numFmt w:val="bullet"/>
      <w:lvlText w:val=""/>
      <w:lvlJc w:val="left"/>
      <w:pPr>
        <w:ind w:left="7189" w:hanging="360"/>
      </w:pPr>
      <w:rPr>
        <w:rFonts w:ascii="Wingdings" w:hAnsi="Wingdings" w:hint="default"/>
      </w:rPr>
    </w:lvl>
  </w:abstractNum>
  <w:abstractNum w:abstractNumId="23">
    <w:nsid w:val="2F3F3E58"/>
    <w:multiLevelType w:val="hybridMultilevel"/>
    <w:tmpl w:val="410827E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4">
    <w:nsid w:val="32DF41BE"/>
    <w:multiLevelType w:val="hybridMultilevel"/>
    <w:tmpl w:val="984631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33D8302B"/>
    <w:multiLevelType w:val="hybridMultilevel"/>
    <w:tmpl w:val="F13C0E72"/>
    <w:lvl w:ilvl="0" w:tplc="A17A419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34F01CEE"/>
    <w:multiLevelType w:val="hybridMultilevel"/>
    <w:tmpl w:val="F95241CE"/>
    <w:lvl w:ilvl="0" w:tplc="8CB8F004">
      <w:start w:val="1"/>
      <w:numFmt w:val="bullet"/>
      <w:lvlText w:val=""/>
      <w:lvlJc w:val="left"/>
      <w:pPr>
        <w:ind w:left="1080" w:hanging="360"/>
      </w:pPr>
      <w:rPr>
        <w:rFonts w:ascii="Symbol" w:hAnsi="Symbol" w:hint="default"/>
        <w:sz w:val="24"/>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nsid w:val="37D8105B"/>
    <w:multiLevelType w:val="hybridMultilevel"/>
    <w:tmpl w:val="50426D2A"/>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8">
    <w:nsid w:val="394716C5"/>
    <w:multiLevelType w:val="hybridMultilevel"/>
    <w:tmpl w:val="5C9ADE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nsid w:val="39792487"/>
    <w:multiLevelType w:val="hybridMultilevel"/>
    <w:tmpl w:val="2AA69B2E"/>
    <w:lvl w:ilvl="0" w:tplc="A41661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E421FF7"/>
    <w:multiLevelType w:val="hybridMultilevel"/>
    <w:tmpl w:val="2BC47A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40293080"/>
    <w:multiLevelType w:val="multilevel"/>
    <w:tmpl w:val="B400FC6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408B52CD"/>
    <w:multiLevelType w:val="hybridMultilevel"/>
    <w:tmpl w:val="3F1A33F6"/>
    <w:lvl w:ilvl="0" w:tplc="727C81B4">
      <w:start w:val="1"/>
      <w:numFmt w:val="decimal"/>
      <w:lvlText w:val="%1."/>
      <w:lvlJc w:val="left"/>
      <w:pPr>
        <w:ind w:left="720" w:hanging="360"/>
      </w:pPr>
      <w:rPr>
        <w:rFonts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40C463E3"/>
    <w:multiLevelType w:val="hybridMultilevel"/>
    <w:tmpl w:val="81CE258C"/>
    <w:lvl w:ilvl="0" w:tplc="04260001">
      <w:start w:val="1"/>
      <w:numFmt w:val="bullet"/>
      <w:lvlText w:val=""/>
      <w:lvlJc w:val="left"/>
      <w:pPr>
        <w:ind w:left="436" w:hanging="360"/>
      </w:pPr>
      <w:rPr>
        <w:rFonts w:ascii="Symbol" w:hAnsi="Symbol"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34">
    <w:nsid w:val="447B5750"/>
    <w:multiLevelType w:val="hybridMultilevel"/>
    <w:tmpl w:val="F8D0F48C"/>
    <w:lvl w:ilvl="0" w:tplc="9F0038BC">
      <w:start w:val="1"/>
      <w:numFmt w:val="decimal"/>
      <w:lvlText w:val="%1)"/>
      <w:lvlJc w:val="left"/>
      <w:pPr>
        <w:ind w:left="825" w:hanging="46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46B01BE6"/>
    <w:multiLevelType w:val="hybridMultilevel"/>
    <w:tmpl w:val="1C58D22E"/>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36">
    <w:nsid w:val="46BE2DE7"/>
    <w:multiLevelType w:val="hybridMultilevel"/>
    <w:tmpl w:val="4FA613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4864652C"/>
    <w:multiLevelType w:val="hybridMultilevel"/>
    <w:tmpl w:val="3800A832"/>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8676D7B"/>
    <w:multiLevelType w:val="hybridMultilevel"/>
    <w:tmpl w:val="B694F1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nsid w:val="4F071607"/>
    <w:multiLevelType w:val="hybridMultilevel"/>
    <w:tmpl w:val="59B86264"/>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40">
    <w:nsid w:val="4FCC13FB"/>
    <w:multiLevelType w:val="multilevel"/>
    <w:tmpl w:val="905814FC"/>
    <w:lvl w:ilvl="0">
      <w:start w:val="1"/>
      <w:numFmt w:val="decimal"/>
      <w:lvlText w:val="%1."/>
      <w:lvlJc w:val="left"/>
      <w:pPr>
        <w:ind w:left="502" w:hanging="360"/>
      </w:p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1">
    <w:nsid w:val="53147A25"/>
    <w:multiLevelType w:val="hybridMultilevel"/>
    <w:tmpl w:val="4E42C534"/>
    <w:lvl w:ilvl="0" w:tplc="0824AA4E">
      <w:start w:val="1"/>
      <w:numFmt w:val="bullet"/>
      <w:lvlText w:val="•"/>
      <w:lvlJc w:val="left"/>
      <w:pPr>
        <w:tabs>
          <w:tab w:val="num" w:pos="720"/>
        </w:tabs>
        <w:ind w:left="720" w:hanging="360"/>
      </w:pPr>
      <w:rPr>
        <w:rFonts w:ascii="Arial" w:hAnsi="Arial" w:hint="default"/>
      </w:rPr>
    </w:lvl>
    <w:lvl w:ilvl="1" w:tplc="FF28547C">
      <w:start w:val="1"/>
      <w:numFmt w:val="bullet"/>
      <w:lvlText w:val="•"/>
      <w:lvlJc w:val="left"/>
      <w:pPr>
        <w:tabs>
          <w:tab w:val="num" w:pos="1440"/>
        </w:tabs>
        <w:ind w:left="1440" w:hanging="360"/>
      </w:pPr>
      <w:rPr>
        <w:rFonts w:ascii="Arial" w:hAnsi="Arial" w:cs="Arial" w:hint="default"/>
      </w:rPr>
    </w:lvl>
    <w:lvl w:ilvl="2" w:tplc="7F927E9E">
      <w:start w:val="1"/>
      <w:numFmt w:val="bullet"/>
      <w:lvlText w:val="•"/>
      <w:lvlJc w:val="left"/>
      <w:pPr>
        <w:tabs>
          <w:tab w:val="num" w:pos="2160"/>
        </w:tabs>
        <w:ind w:left="2160" w:hanging="360"/>
      </w:pPr>
      <w:rPr>
        <w:rFonts w:ascii="Arial" w:hAnsi="Arial" w:cs="Arial" w:hint="default"/>
      </w:rPr>
    </w:lvl>
    <w:lvl w:ilvl="3" w:tplc="1154240E">
      <w:start w:val="1"/>
      <w:numFmt w:val="bullet"/>
      <w:lvlText w:val="•"/>
      <w:lvlJc w:val="left"/>
      <w:pPr>
        <w:tabs>
          <w:tab w:val="num" w:pos="2880"/>
        </w:tabs>
        <w:ind w:left="2880" w:hanging="360"/>
      </w:pPr>
      <w:rPr>
        <w:rFonts w:ascii="Arial" w:hAnsi="Arial" w:cs="Arial" w:hint="default"/>
      </w:rPr>
    </w:lvl>
    <w:lvl w:ilvl="4" w:tplc="AA90C7EA">
      <w:start w:val="1"/>
      <w:numFmt w:val="bullet"/>
      <w:lvlText w:val="•"/>
      <w:lvlJc w:val="left"/>
      <w:pPr>
        <w:tabs>
          <w:tab w:val="num" w:pos="3600"/>
        </w:tabs>
        <w:ind w:left="3600" w:hanging="360"/>
      </w:pPr>
      <w:rPr>
        <w:rFonts w:ascii="Arial" w:hAnsi="Arial" w:cs="Arial" w:hint="default"/>
      </w:rPr>
    </w:lvl>
    <w:lvl w:ilvl="5" w:tplc="E50A6888">
      <w:start w:val="1"/>
      <w:numFmt w:val="bullet"/>
      <w:lvlText w:val="•"/>
      <w:lvlJc w:val="left"/>
      <w:pPr>
        <w:tabs>
          <w:tab w:val="num" w:pos="4320"/>
        </w:tabs>
        <w:ind w:left="4320" w:hanging="360"/>
      </w:pPr>
      <w:rPr>
        <w:rFonts w:ascii="Arial" w:hAnsi="Arial" w:cs="Arial" w:hint="default"/>
      </w:rPr>
    </w:lvl>
    <w:lvl w:ilvl="6" w:tplc="8612DE4C">
      <w:start w:val="1"/>
      <w:numFmt w:val="bullet"/>
      <w:lvlText w:val="•"/>
      <w:lvlJc w:val="left"/>
      <w:pPr>
        <w:tabs>
          <w:tab w:val="num" w:pos="5040"/>
        </w:tabs>
        <w:ind w:left="5040" w:hanging="360"/>
      </w:pPr>
      <w:rPr>
        <w:rFonts w:ascii="Arial" w:hAnsi="Arial" w:cs="Arial" w:hint="default"/>
      </w:rPr>
    </w:lvl>
    <w:lvl w:ilvl="7" w:tplc="B1DCBB88">
      <w:start w:val="1"/>
      <w:numFmt w:val="bullet"/>
      <w:lvlText w:val="•"/>
      <w:lvlJc w:val="left"/>
      <w:pPr>
        <w:tabs>
          <w:tab w:val="num" w:pos="5760"/>
        </w:tabs>
        <w:ind w:left="5760" w:hanging="360"/>
      </w:pPr>
      <w:rPr>
        <w:rFonts w:ascii="Arial" w:hAnsi="Arial" w:cs="Arial" w:hint="default"/>
      </w:rPr>
    </w:lvl>
    <w:lvl w:ilvl="8" w:tplc="F178517A">
      <w:start w:val="1"/>
      <w:numFmt w:val="bullet"/>
      <w:lvlText w:val="•"/>
      <w:lvlJc w:val="left"/>
      <w:pPr>
        <w:tabs>
          <w:tab w:val="num" w:pos="6480"/>
        </w:tabs>
        <w:ind w:left="6480" w:hanging="360"/>
      </w:pPr>
      <w:rPr>
        <w:rFonts w:ascii="Arial" w:hAnsi="Arial" w:cs="Arial" w:hint="default"/>
      </w:rPr>
    </w:lvl>
  </w:abstractNum>
  <w:abstractNum w:abstractNumId="42">
    <w:nsid w:val="53F81F36"/>
    <w:multiLevelType w:val="hybridMultilevel"/>
    <w:tmpl w:val="312839A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3">
    <w:nsid w:val="54BE4FB6"/>
    <w:multiLevelType w:val="hybridMultilevel"/>
    <w:tmpl w:val="6BB2215E"/>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44">
    <w:nsid w:val="55020331"/>
    <w:multiLevelType w:val="hybridMultilevel"/>
    <w:tmpl w:val="56B013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nsid w:val="5A8201B9"/>
    <w:multiLevelType w:val="hybridMultilevel"/>
    <w:tmpl w:val="81260046"/>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6">
    <w:nsid w:val="6BDD5238"/>
    <w:multiLevelType w:val="hybridMultilevel"/>
    <w:tmpl w:val="D460E01E"/>
    <w:lvl w:ilvl="0" w:tplc="0426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A8F0106"/>
    <w:multiLevelType w:val="hybridMultilevel"/>
    <w:tmpl w:val="C5C49E64"/>
    <w:lvl w:ilvl="0" w:tplc="04260011">
      <w:start w:val="1"/>
      <w:numFmt w:val="decimal"/>
      <w:lvlText w:val="%1)"/>
      <w:lvlJc w:val="left"/>
      <w:pPr>
        <w:ind w:left="502" w:hanging="360"/>
      </w:pPr>
      <w:rPr>
        <w:rFonts w:cs="Times New Roman"/>
      </w:rPr>
    </w:lvl>
    <w:lvl w:ilvl="1" w:tplc="04260019" w:tentative="1">
      <w:start w:val="1"/>
      <w:numFmt w:val="lowerLetter"/>
      <w:lvlText w:val="%2."/>
      <w:lvlJc w:val="left"/>
      <w:pPr>
        <w:ind w:left="1222" w:hanging="360"/>
      </w:pPr>
      <w:rPr>
        <w:rFonts w:cs="Times New Roman"/>
      </w:rPr>
    </w:lvl>
    <w:lvl w:ilvl="2" w:tplc="0426001B" w:tentative="1">
      <w:start w:val="1"/>
      <w:numFmt w:val="lowerRoman"/>
      <w:lvlText w:val="%3."/>
      <w:lvlJc w:val="right"/>
      <w:pPr>
        <w:ind w:left="1942" w:hanging="180"/>
      </w:pPr>
      <w:rPr>
        <w:rFonts w:cs="Times New Roman"/>
      </w:rPr>
    </w:lvl>
    <w:lvl w:ilvl="3" w:tplc="0426000F" w:tentative="1">
      <w:start w:val="1"/>
      <w:numFmt w:val="decimal"/>
      <w:lvlText w:val="%4."/>
      <w:lvlJc w:val="left"/>
      <w:pPr>
        <w:ind w:left="2662" w:hanging="360"/>
      </w:pPr>
      <w:rPr>
        <w:rFonts w:cs="Times New Roman"/>
      </w:rPr>
    </w:lvl>
    <w:lvl w:ilvl="4" w:tplc="04260019" w:tentative="1">
      <w:start w:val="1"/>
      <w:numFmt w:val="lowerLetter"/>
      <w:lvlText w:val="%5."/>
      <w:lvlJc w:val="left"/>
      <w:pPr>
        <w:ind w:left="3382" w:hanging="360"/>
      </w:pPr>
      <w:rPr>
        <w:rFonts w:cs="Times New Roman"/>
      </w:rPr>
    </w:lvl>
    <w:lvl w:ilvl="5" w:tplc="0426001B" w:tentative="1">
      <w:start w:val="1"/>
      <w:numFmt w:val="lowerRoman"/>
      <w:lvlText w:val="%6."/>
      <w:lvlJc w:val="right"/>
      <w:pPr>
        <w:ind w:left="4102" w:hanging="180"/>
      </w:pPr>
      <w:rPr>
        <w:rFonts w:cs="Times New Roman"/>
      </w:rPr>
    </w:lvl>
    <w:lvl w:ilvl="6" w:tplc="0426000F" w:tentative="1">
      <w:start w:val="1"/>
      <w:numFmt w:val="decimal"/>
      <w:lvlText w:val="%7."/>
      <w:lvlJc w:val="left"/>
      <w:pPr>
        <w:ind w:left="4822" w:hanging="360"/>
      </w:pPr>
      <w:rPr>
        <w:rFonts w:cs="Times New Roman"/>
      </w:rPr>
    </w:lvl>
    <w:lvl w:ilvl="7" w:tplc="04260019" w:tentative="1">
      <w:start w:val="1"/>
      <w:numFmt w:val="lowerLetter"/>
      <w:lvlText w:val="%8."/>
      <w:lvlJc w:val="left"/>
      <w:pPr>
        <w:ind w:left="5542" w:hanging="360"/>
      </w:pPr>
      <w:rPr>
        <w:rFonts w:cs="Times New Roman"/>
      </w:rPr>
    </w:lvl>
    <w:lvl w:ilvl="8" w:tplc="0426001B" w:tentative="1">
      <w:start w:val="1"/>
      <w:numFmt w:val="lowerRoman"/>
      <w:lvlText w:val="%9."/>
      <w:lvlJc w:val="right"/>
      <w:pPr>
        <w:ind w:left="6262" w:hanging="180"/>
      </w:pPr>
      <w:rPr>
        <w:rFonts w:cs="Times New Roman"/>
      </w:rPr>
    </w:lvl>
  </w:abstractNum>
  <w:abstractNum w:abstractNumId="48">
    <w:nsid w:val="7FEA12DD"/>
    <w:multiLevelType w:val="hybridMultilevel"/>
    <w:tmpl w:val="CF323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38"/>
  </w:num>
  <w:num w:numId="3">
    <w:abstractNumId w:val="32"/>
  </w:num>
  <w:num w:numId="4">
    <w:abstractNumId w:val="3"/>
  </w:num>
  <w:num w:numId="5">
    <w:abstractNumId w:val="46"/>
  </w:num>
  <w:num w:numId="6">
    <w:abstractNumId w:val="6"/>
  </w:num>
  <w:num w:numId="7">
    <w:abstractNumId w:val="16"/>
  </w:num>
  <w:num w:numId="8">
    <w:abstractNumId w:val="4"/>
  </w:num>
  <w:num w:numId="9">
    <w:abstractNumId w:val="37"/>
  </w:num>
  <w:num w:numId="10">
    <w:abstractNumId w:val="1"/>
  </w:num>
  <w:num w:numId="11">
    <w:abstractNumId w:val="48"/>
  </w:num>
  <w:num w:numId="12">
    <w:abstractNumId w:val="47"/>
  </w:num>
  <w:num w:numId="13">
    <w:abstractNumId w:val="42"/>
  </w:num>
  <w:num w:numId="14">
    <w:abstractNumId w:val="40"/>
  </w:num>
  <w:num w:numId="15">
    <w:abstractNumId w:val="29"/>
  </w:num>
  <w:num w:numId="16">
    <w:abstractNumId w:val="13"/>
  </w:num>
  <w:num w:numId="17">
    <w:abstractNumId w:val="27"/>
  </w:num>
  <w:num w:numId="18">
    <w:abstractNumId w:val="25"/>
  </w:num>
  <w:num w:numId="19">
    <w:abstractNumId w:val="20"/>
  </w:num>
  <w:num w:numId="20">
    <w:abstractNumId w:val="28"/>
  </w:num>
  <w:num w:numId="21">
    <w:abstractNumId w:val="35"/>
  </w:num>
  <w:num w:numId="22">
    <w:abstractNumId w:val="14"/>
  </w:num>
  <w:num w:numId="23">
    <w:abstractNumId w:val="9"/>
  </w:num>
  <w:num w:numId="24">
    <w:abstractNumId w:val="0"/>
  </w:num>
  <w:num w:numId="25">
    <w:abstractNumId w:val="30"/>
  </w:num>
  <w:num w:numId="26">
    <w:abstractNumId w:val="39"/>
  </w:num>
  <w:num w:numId="27">
    <w:abstractNumId w:val="43"/>
  </w:num>
  <w:num w:numId="28">
    <w:abstractNumId w:val="2"/>
  </w:num>
  <w:num w:numId="29">
    <w:abstractNumId w:val="21"/>
  </w:num>
  <w:num w:numId="30">
    <w:abstractNumId w:val="18"/>
  </w:num>
  <w:num w:numId="31">
    <w:abstractNumId w:val="12"/>
  </w:num>
  <w:num w:numId="3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45"/>
  </w:num>
  <w:num w:numId="35">
    <w:abstractNumId w:val="26"/>
  </w:num>
  <w:num w:numId="36">
    <w:abstractNumId w:val="33"/>
  </w:num>
  <w:num w:numId="37">
    <w:abstractNumId w:val="15"/>
  </w:num>
  <w:num w:numId="38">
    <w:abstractNumId w:val="17"/>
  </w:num>
  <w:num w:numId="39">
    <w:abstractNumId w:val="44"/>
  </w:num>
  <w:num w:numId="40">
    <w:abstractNumId w:val="36"/>
  </w:num>
  <w:num w:numId="41">
    <w:abstractNumId w:val="24"/>
  </w:num>
  <w:num w:numId="42">
    <w:abstractNumId w:val="8"/>
  </w:num>
  <w:num w:numId="43">
    <w:abstractNumId w:val="34"/>
  </w:num>
  <w:num w:numId="44">
    <w:abstractNumId w:val="41"/>
  </w:num>
  <w:num w:numId="45">
    <w:abstractNumId w:val="5"/>
  </w:num>
  <w:num w:numId="46">
    <w:abstractNumId w:val="7"/>
  </w:num>
  <w:num w:numId="47">
    <w:abstractNumId w:val="10"/>
  </w:num>
  <w:num w:numId="48">
    <w:abstractNumId w:val="11"/>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E5F"/>
    <w:rsid w:val="00076CDA"/>
    <w:rsid w:val="000A0AA3"/>
    <w:rsid w:val="000C128D"/>
    <w:rsid w:val="000D6F96"/>
    <w:rsid w:val="0011692E"/>
    <w:rsid w:val="00192F89"/>
    <w:rsid w:val="001C0B64"/>
    <w:rsid w:val="001C6347"/>
    <w:rsid w:val="00256E7F"/>
    <w:rsid w:val="002A2E5F"/>
    <w:rsid w:val="003179A2"/>
    <w:rsid w:val="00343164"/>
    <w:rsid w:val="003801AB"/>
    <w:rsid w:val="0038735E"/>
    <w:rsid w:val="003C2817"/>
    <w:rsid w:val="003F0F29"/>
    <w:rsid w:val="00531C52"/>
    <w:rsid w:val="006323AE"/>
    <w:rsid w:val="00681F1C"/>
    <w:rsid w:val="006D2F5B"/>
    <w:rsid w:val="009A0F95"/>
    <w:rsid w:val="009B63AB"/>
    <w:rsid w:val="00AA3E3F"/>
    <w:rsid w:val="00AF61E3"/>
    <w:rsid w:val="00C46CAD"/>
    <w:rsid w:val="00CA23EA"/>
    <w:rsid w:val="00F67D27"/>
    <w:rsid w:val="00FB7347"/>
    <w:rsid w:val="00FE17F7"/>
    <w:rsid w:val="00FF1C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873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A0F95"/>
    <w:pPr>
      <w:keepNext/>
      <w:keepLines/>
      <w:widowControl w:val="0"/>
      <w:adjustRightInd w:val="0"/>
      <w:spacing w:before="200" w:after="0" w:line="360" w:lineRule="atLeast"/>
      <w:jc w:val="both"/>
      <w:textAlignment w:val="baseline"/>
      <w:outlineLvl w:val="1"/>
    </w:pPr>
    <w:rPr>
      <w:rFonts w:asciiTheme="majorHAnsi" w:eastAsiaTheme="majorEastAsia" w:hAnsiTheme="majorHAnsi" w:cstheme="majorBidi"/>
      <w:b/>
      <w:bCs/>
      <w:color w:val="4F81BD" w:themeColor="accent1"/>
      <w:sz w:val="26"/>
      <w:szCs w:val="26"/>
      <w:lang w:eastAsia="lv-LV"/>
    </w:rPr>
  </w:style>
  <w:style w:type="paragraph" w:styleId="Heading3">
    <w:name w:val="heading 3"/>
    <w:basedOn w:val="Normal"/>
    <w:next w:val="Normal"/>
    <w:link w:val="Heading3Char"/>
    <w:uiPriority w:val="9"/>
    <w:unhideWhenUsed/>
    <w:qFormat/>
    <w:rsid w:val="0038735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38735E"/>
    <w:pPr>
      <w:keepNext/>
      <w:keepLines/>
      <w:widowControl w:val="0"/>
      <w:adjustRightInd w:val="0"/>
      <w:spacing w:before="200" w:after="0" w:line="360" w:lineRule="atLeast"/>
      <w:jc w:val="both"/>
      <w:textAlignment w:val="baseline"/>
      <w:outlineLvl w:val="3"/>
    </w:pPr>
    <w:rPr>
      <w:rFonts w:asciiTheme="majorHAnsi" w:eastAsiaTheme="majorEastAsia" w:hAnsiTheme="majorHAnsi" w:cstheme="majorBidi"/>
      <w:b/>
      <w:bCs/>
      <w:i/>
      <w:iCs/>
      <w:color w:val="4F81BD" w:themeColor="accent1"/>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2E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E5F"/>
    <w:rPr>
      <w:rFonts w:ascii="Tahoma" w:hAnsi="Tahoma" w:cs="Tahoma"/>
      <w:sz w:val="16"/>
      <w:szCs w:val="16"/>
    </w:rPr>
  </w:style>
  <w:style w:type="character" w:styleId="Hyperlink">
    <w:name w:val="Hyperlink"/>
    <w:basedOn w:val="DefaultParagraphFont"/>
    <w:uiPriority w:val="99"/>
    <w:rsid w:val="0038735E"/>
    <w:rPr>
      <w:rFonts w:cs="Times New Roman"/>
      <w:color w:val="0000FF"/>
      <w:u w:val="single"/>
    </w:rPr>
  </w:style>
  <w:style w:type="paragraph" w:styleId="TOC1">
    <w:name w:val="toc 1"/>
    <w:basedOn w:val="Normal"/>
    <w:next w:val="Normal"/>
    <w:autoRedefine/>
    <w:uiPriority w:val="39"/>
    <w:qFormat/>
    <w:rsid w:val="0038735E"/>
    <w:pPr>
      <w:widowControl w:val="0"/>
      <w:adjustRightInd w:val="0"/>
      <w:spacing w:before="120" w:after="120" w:line="360" w:lineRule="atLeast"/>
      <w:textAlignment w:val="baseline"/>
    </w:pPr>
    <w:rPr>
      <w:rFonts w:eastAsia="Times New Roman" w:cstheme="minorHAnsi"/>
      <w:b/>
      <w:bCs/>
      <w:caps/>
      <w:sz w:val="20"/>
      <w:szCs w:val="20"/>
      <w:lang w:eastAsia="lv-LV"/>
    </w:rPr>
  </w:style>
  <w:style w:type="paragraph" w:styleId="TOC2">
    <w:name w:val="toc 2"/>
    <w:basedOn w:val="Normal"/>
    <w:next w:val="Normal"/>
    <w:autoRedefine/>
    <w:uiPriority w:val="39"/>
    <w:qFormat/>
    <w:rsid w:val="0038735E"/>
    <w:pPr>
      <w:widowControl w:val="0"/>
      <w:adjustRightInd w:val="0"/>
      <w:spacing w:after="0" w:line="360" w:lineRule="atLeast"/>
      <w:ind w:left="240"/>
      <w:textAlignment w:val="baseline"/>
    </w:pPr>
    <w:rPr>
      <w:rFonts w:eastAsia="Times New Roman" w:cstheme="minorHAnsi"/>
      <w:smallCaps/>
      <w:sz w:val="20"/>
      <w:szCs w:val="20"/>
      <w:lang w:eastAsia="lv-LV"/>
    </w:rPr>
  </w:style>
  <w:style w:type="paragraph" w:styleId="TOC3">
    <w:name w:val="toc 3"/>
    <w:basedOn w:val="Normal"/>
    <w:next w:val="Normal"/>
    <w:autoRedefine/>
    <w:uiPriority w:val="39"/>
    <w:qFormat/>
    <w:rsid w:val="0038735E"/>
    <w:pPr>
      <w:widowControl w:val="0"/>
      <w:adjustRightInd w:val="0"/>
      <w:spacing w:after="0" w:line="360" w:lineRule="atLeast"/>
      <w:ind w:left="480"/>
      <w:textAlignment w:val="baseline"/>
    </w:pPr>
    <w:rPr>
      <w:rFonts w:eastAsia="Times New Roman" w:cstheme="minorHAnsi"/>
      <w:i/>
      <w:iCs/>
      <w:sz w:val="20"/>
      <w:szCs w:val="20"/>
      <w:lang w:eastAsia="lv-LV"/>
    </w:rPr>
  </w:style>
  <w:style w:type="character" w:customStyle="1" w:styleId="Heading1Char">
    <w:name w:val="Heading 1 Char"/>
    <w:basedOn w:val="DefaultParagraphFont"/>
    <w:link w:val="Heading1"/>
    <w:uiPriority w:val="9"/>
    <w:rsid w:val="0038735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8735E"/>
    <w:pPr>
      <w:spacing w:after="120"/>
      <w:outlineLvl w:val="9"/>
    </w:pPr>
    <w:rPr>
      <w:bCs w:val="0"/>
      <w:caps/>
      <w:sz w:val="20"/>
      <w:szCs w:val="20"/>
      <w:lang w:val="en-US" w:eastAsia="ja-JP"/>
    </w:rPr>
  </w:style>
  <w:style w:type="character" w:customStyle="1" w:styleId="Heading3Char">
    <w:name w:val="Heading 3 Char"/>
    <w:basedOn w:val="DefaultParagraphFont"/>
    <w:link w:val="Heading3"/>
    <w:uiPriority w:val="9"/>
    <w:rsid w:val="0038735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8735E"/>
    <w:rPr>
      <w:rFonts w:asciiTheme="majorHAnsi" w:eastAsiaTheme="majorEastAsia" w:hAnsiTheme="majorHAnsi" w:cstheme="majorBidi"/>
      <w:b/>
      <w:bCs/>
      <w:i/>
      <w:iCs/>
      <w:color w:val="4F81BD" w:themeColor="accent1"/>
      <w:sz w:val="24"/>
      <w:szCs w:val="24"/>
      <w:lang w:eastAsia="lv-LV"/>
    </w:rPr>
  </w:style>
  <w:style w:type="table" w:styleId="LightGrid-Accent1">
    <w:name w:val="Light Grid Accent 1"/>
    <w:basedOn w:val="TableNormal"/>
    <w:uiPriority w:val="62"/>
    <w:rsid w:val="0038735E"/>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Heading2Char">
    <w:name w:val="Heading 2 Char"/>
    <w:basedOn w:val="DefaultParagraphFont"/>
    <w:link w:val="Heading2"/>
    <w:rsid w:val="009A0F95"/>
    <w:rPr>
      <w:rFonts w:asciiTheme="majorHAnsi" w:eastAsiaTheme="majorEastAsia" w:hAnsiTheme="majorHAnsi" w:cstheme="majorBidi"/>
      <w:b/>
      <w:bCs/>
      <w:color w:val="4F81BD" w:themeColor="accent1"/>
      <w:sz w:val="26"/>
      <w:szCs w:val="26"/>
      <w:lang w:eastAsia="lv-LV"/>
    </w:rPr>
  </w:style>
  <w:style w:type="paragraph" w:styleId="ListParagraph">
    <w:name w:val="List Paragraph"/>
    <w:basedOn w:val="Normal"/>
    <w:uiPriority w:val="34"/>
    <w:qFormat/>
    <w:rsid w:val="009A0F95"/>
    <w:pPr>
      <w:widowControl w:val="0"/>
      <w:adjustRightInd w:val="0"/>
      <w:spacing w:after="0" w:line="360" w:lineRule="atLeast"/>
      <w:ind w:left="720"/>
      <w:contextualSpacing/>
      <w:jc w:val="both"/>
      <w:textAlignment w:val="baseline"/>
    </w:pPr>
    <w:rPr>
      <w:rFonts w:ascii="Times New Roman" w:eastAsia="Times New Roman" w:hAnsi="Times New Roman" w:cs="Times New Roman"/>
      <w:sz w:val="24"/>
      <w:szCs w:val="24"/>
      <w:lang w:eastAsia="lv-LV"/>
    </w:rPr>
  </w:style>
  <w:style w:type="paragraph" w:customStyle="1" w:styleId="Default">
    <w:name w:val="Default"/>
    <w:rsid w:val="009A0F9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076CDA"/>
    <w:pPr>
      <w:tabs>
        <w:tab w:val="center" w:pos="4153"/>
        <w:tab w:val="right" w:pos="8306"/>
      </w:tabs>
      <w:spacing w:after="0" w:line="240" w:lineRule="auto"/>
    </w:pPr>
  </w:style>
  <w:style w:type="character" w:customStyle="1" w:styleId="HeaderChar">
    <w:name w:val="Header Char"/>
    <w:basedOn w:val="DefaultParagraphFont"/>
    <w:link w:val="Header"/>
    <w:uiPriority w:val="99"/>
    <w:rsid w:val="00076CDA"/>
  </w:style>
  <w:style w:type="paragraph" w:styleId="Footer">
    <w:name w:val="footer"/>
    <w:basedOn w:val="Normal"/>
    <w:link w:val="FooterChar"/>
    <w:uiPriority w:val="99"/>
    <w:unhideWhenUsed/>
    <w:rsid w:val="00076CDA"/>
    <w:pPr>
      <w:tabs>
        <w:tab w:val="center" w:pos="4153"/>
        <w:tab w:val="right" w:pos="8306"/>
      </w:tabs>
      <w:spacing w:after="0" w:line="240" w:lineRule="auto"/>
    </w:pPr>
  </w:style>
  <w:style w:type="character" w:customStyle="1" w:styleId="FooterChar">
    <w:name w:val="Footer Char"/>
    <w:basedOn w:val="DefaultParagraphFont"/>
    <w:link w:val="Footer"/>
    <w:uiPriority w:val="99"/>
    <w:rsid w:val="00076CDA"/>
  </w:style>
  <w:style w:type="table" w:customStyle="1" w:styleId="LightGrid-Accent11">
    <w:name w:val="Light Grid - Accent 11"/>
    <w:basedOn w:val="TableNormal"/>
    <w:uiPriority w:val="62"/>
    <w:rsid w:val="00076CDA"/>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FollowedHyperlink">
    <w:name w:val="FollowedHyperlink"/>
    <w:basedOn w:val="DefaultParagraphFont"/>
    <w:uiPriority w:val="99"/>
    <w:semiHidden/>
    <w:unhideWhenUsed/>
    <w:rsid w:val="006D2F5B"/>
    <w:rPr>
      <w:color w:val="800080" w:themeColor="followedHyperlink"/>
      <w:u w:val="single"/>
    </w:rPr>
  </w:style>
  <w:style w:type="paragraph" w:customStyle="1" w:styleId="tvhtml1">
    <w:name w:val="tv_html1"/>
    <w:basedOn w:val="Normal"/>
    <w:rsid w:val="006D2F5B"/>
    <w:pPr>
      <w:spacing w:before="100" w:beforeAutospacing="1" w:after="0" w:line="360" w:lineRule="auto"/>
    </w:pPr>
    <w:rPr>
      <w:rFonts w:ascii="Verdana" w:eastAsia="Times New Roman" w:hAnsi="Verdana" w:cs="Times New Roman"/>
      <w:sz w:val="15"/>
      <w:szCs w:val="15"/>
      <w:lang w:eastAsia="lv-LV"/>
    </w:rPr>
  </w:style>
  <w:style w:type="paragraph" w:styleId="FootnoteText">
    <w:name w:val="footnote text"/>
    <w:basedOn w:val="Normal"/>
    <w:link w:val="FootnoteTextChar1"/>
    <w:semiHidden/>
    <w:unhideWhenUsed/>
    <w:rsid w:val="006D2F5B"/>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uiPriority w:val="99"/>
    <w:semiHidden/>
    <w:rsid w:val="006D2F5B"/>
    <w:rPr>
      <w:sz w:val="20"/>
      <w:szCs w:val="20"/>
    </w:rPr>
  </w:style>
  <w:style w:type="character" w:customStyle="1" w:styleId="FootnoteTextChar1">
    <w:name w:val="Footnote Text Char1"/>
    <w:link w:val="FootnoteText"/>
    <w:semiHidden/>
    <w:rsid w:val="006D2F5B"/>
    <w:rPr>
      <w:rFonts w:ascii="Calibri" w:eastAsia="Calibri" w:hAnsi="Calibri" w:cs="Times New Roman"/>
      <w:sz w:val="20"/>
      <w:szCs w:val="20"/>
    </w:rPr>
  </w:style>
  <w:style w:type="character" w:styleId="FootnoteReference">
    <w:name w:val="footnote reference"/>
    <w:uiPriority w:val="99"/>
    <w:semiHidden/>
    <w:unhideWhenUsed/>
    <w:rsid w:val="006D2F5B"/>
    <w:rPr>
      <w:vertAlign w:val="superscript"/>
    </w:rPr>
  </w:style>
  <w:style w:type="paragraph" w:styleId="NoSpacing">
    <w:name w:val="No Spacing"/>
    <w:link w:val="NoSpacingChar"/>
    <w:uiPriority w:val="99"/>
    <w:qFormat/>
    <w:rsid w:val="006D2F5B"/>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99"/>
    <w:rsid w:val="006D2F5B"/>
    <w:rPr>
      <w:rFonts w:eastAsiaTheme="minorEastAsia"/>
      <w:lang w:val="en-US" w:eastAsia="ja-JP"/>
    </w:rPr>
  </w:style>
  <w:style w:type="paragraph" w:styleId="TOC4">
    <w:name w:val="toc 4"/>
    <w:basedOn w:val="Normal"/>
    <w:next w:val="Normal"/>
    <w:autoRedefine/>
    <w:uiPriority w:val="39"/>
    <w:unhideWhenUsed/>
    <w:rsid w:val="006D2F5B"/>
    <w:pPr>
      <w:widowControl w:val="0"/>
      <w:adjustRightInd w:val="0"/>
      <w:spacing w:after="0" w:line="360" w:lineRule="atLeast"/>
      <w:ind w:left="720"/>
      <w:textAlignment w:val="baseline"/>
    </w:pPr>
    <w:rPr>
      <w:rFonts w:eastAsia="Times New Roman" w:cstheme="minorHAnsi"/>
      <w:sz w:val="18"/>
      <w:szCs w:val="18"/>
      <w:lang w:eastAsia="lv-LV"/>
    </w:rPr>
  </w:style>
  <w:style w:type="paragraph" w:styleId="TOC5">
    <w:name w:val="toc 5"/>
    <w:basedOn w:val="Normal"/>
    <w:next w:val="Normal"/>
    <w:autoRedefine/>
    <w:uiPriority w:val="39"/>
    <w:unhideWhenUsed/>
    <w:rsid w:val="006D2F5B"/>
    <w:pPr>
      <w:widowControl w:val="0"/>
      <w:adjustRightInd w:val="0"/>
      <w:spacing w:after="0" w:line="360" w:lineRule="atLeast"/>
      <w:ind w:left="960"/>
      <w:textAlignment w:val="baseline"/>
    </w:pPr>
    <w:rPr>
      <w:rFonts w:eastAsia="Times New Roman" w:cstheme="minorHAnsi"/>
      <w:sz w:val="18"/>
      <w:szCs w:val="18"/>
      <w:lang w:eastAsia="lv-LV"/>
    </w:rPr>
  </w:style>
  <w:style w:type="paragraph" w:styleId="TOC6">
    <w:name w:val="toc 6"/>
    <w:basedOn w:val="Normal"/>
    <w:next w:val="Normal"/>
    <w:autoRedefine/>
    <w:uiPriority w:val="39"/>
    <w:unhideWhenUsed/>
    <w:rsid w:val="006D2F5B"/>
    <w:pPr>
      <w:widowControl w:val="0"/>
      <w:adjustRightInd w:val="0"/>
      <w:spacing w:after="0" w:line="360" w:lineRule="atLeast"/>
      <w:ind w:left="1200"/>
      <w:textAlignment w:val="baseline"/>
    </w:pPr>
    <w:rPr>
      <w:rFonts w:eastAsia="Times New Roman" w:cstheme="minorHAnsi"/>
      <w:sz w:val="18"/>
      <w:szCs w:val="18"/>
      <w:lang w:eastAsia="lv-LV"/>
    </w:rPr>
  </w:style>
  <w:style w:type="paragraph" w:styleId="TOC7">
    <w:name w:val="toc 7"/>
    <w:basedOn w:val="Normal"/>
    <w:next w:val="Normal"/>
    <w:autoRedefine/>
    <w:uiPriority w:val="39"/>
    <w:unhideWhenUsed/>
    <w:rsid w:val="006D2F5B"/>
    <w:pPr>
      <w:widowControl w:val="0"/>
      <w:adjustRightInd w:val="0"/>
      <w:spacing w:after="0" w:line="360" w:lineRule="atLeast"/>
      <w:ind w:left="1440"/>
      <w:textAlignment w:val="baseline"/>
    </w:pPr>
    <w:rPr>
      <w:rFonts w:eastAsia="Times New Roman" w:cstheme="minorHAnsi"/>
      <w:sz w:val="18"/>
      <w:szCs w:val="18"/>
      <w:lang w:eastAsia="lv-LV"/>
    </w:rPr>
  </w:style>
  <w:style w:type="paragraph" w:styleId="TOC8">
    <w:name w:val="toc 8"/>
    <w:basedOn w:val="Normal"/>
    <w:next w:val="Normal"/>
    <w:autoRedefine/>
    <w:uiPriority w:val="39"/>
    <w:unhideWhenUsed/>
    <w:rsid w:val="006D2F5B"/>
    <w:pPr>
      <w:widowControl w:val="0"/>
      <w:adjustRightInd w:val="0"/>
      <w:spacing w:after="0" w:line="360" w:lineRule="atLeast"/>
      <w:ind w:left="1680"/>
      <w:textAlignment w:val="baseline"/>
    </w:pPr>
    <w:rPr>
      <w:rFonts w:eastAsia="Times New Roman" w:cstheme="minorHAnsi"/>
      <w:sz w:val="18"/>
      <w:szCs w:val="18"/>
      <w:lang w:eastAsia="lv-LV"/>
    </w:rPr>
  </w:style>
  <w:style w:type="paragraph" w:styleId="TOC9">
    <w:name w:val="toc 9"/>
    <w:basedOn w:val="Normal"/>
    <w:next w:val="Normal"/>
    <w:autoRedefine/>
    <w:uiPriority w:val="39"/>
    <w:unhideWhenUsed/>
    <w:rsid w:val="006D2F5B"/>
    <w:pPr>
      <w:widowControl w:val="0"/>
      <w:adjustRightInd w:val="0"/>
      <w:spacing w:after="0" w:line="360" w:lineRule="atLeast"/>
      <w:ind w:left="1920"/>
      <w:textAlignment w:val="baseline"/>
    </w:pPr>
    <w:rPr>
      <w:rFonts w:eastAsia="Times New Roman" w:cstheme="minorHAnsi"/>
      <w:sz w:val="18"/>
      <w:szCs w:val="18"/>
      <w:lang w:eastAsia="lv-LV"/>
    </w:rPr>
  </w:style>
  <w:style w:type="character" w:styleId="CommentReference">
    <w:name w:val="annotation reference"/>
    <w:basedOn w:val="DefaultParagraphFont"/>
    <w:uiPriority w:val="99"/>
    <w:semiHidden/>
    <w:unhideWhenUsed/>
    <w:rsid w:val="006D2F5B"/>
    <w:rPr>
      <w:sz w:val="16"/>
      <w:szCs w:val="16"/>
    </w:rPr>
  </w:style>
  <w:style w:type="paragraph" w:styleId="CommentText">
    <w:name w:val="annotation text"/>
    <w:basedOn w:val="Normal"/>
    <w:link w:val="CommentTextChar"/>
    <w:uiPriority w:val="99"/>
    <w:semiHidden/>
    <w:unhideWhenUsed/>
    <w:rsid w:val="006D2F5B"/>
    <w:pPr>
      <w:widowControl w:val="0"/>
      <w:adjustRightInd w:val="0"/>
      <w:spacing w:after="0" w:line="240" w:lineRule="auto"/>
      <w:jc w:val="both"/>
      <w:textAlignment w:val="baseline"/>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6D2F5B"/>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6D2F5B"/>
    <w:rPr>
      <w:b/>
      <w:bCs/>
    </w:rPr>
  </w:style>
  <w:style w:type="character" w:customStyle="1" w:styleId="CommentSubjectChar">
    <w:name w:val="Comment Subject Char"/>
    <w:basedOn w:val="CommentTextChar"/>
    <w:link w:val="CommentSubject"/>
    <w:uiPriority w:val="99"/>
    <w:semiHidden/>
    <w:rsid w:val="006D2F5B"/>
    <w:rPr>
      <w:rFonts w:ascii="Times New Roman" w:eastAsia="Times New Roman" w:hAnsi="Times New Roman" w:cs="Times New Roman"/>
      <w:b/>
      <w:bCs/>
      <w:sz w:val="20"/>
      <w:szCs w:val="20"/>
      <w:lang w:eastAsia="lv-LV"/>
    </w:rPr>
  </w:style>
  <w:style w:type="character" w:styleId="Strong">
    <w:name w:val="Strong"/>
    <w:basedOn w:val="DefaultParagraphFont"/>
    <w:uiPriority w:val="22"/>
    <w:qFormat/>
    <w:rsid w:val="006D2F5B"/>
    <w:rPr>
      <w:b/>
      <w:bCs/>
    </w:rPr>
  </w:style>
  <w:style w:type="paragraph" w:styleId="Revision">
    <w:name w:val="Revision"/>
    <w:hidden/>
    <w:uiPriority w:val="99"/>
    <w:semiHidden/>
    <w:rsid w:val="006D2F5B"/>
    <w:pPr>
      <w:spacing w:after="0" w:line="240" w:lineRule="auto"/>
    </w:pPr>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873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A0F95"/>
    <w:pPr>
      <w:keepNext/>
      <w:keepLines/>
      <w:widowControl w:val="0"/>
      <w:adjustRightInd w:val="0"/>
      <w:spacing w:before="200" w:after="0" w:line="360" w:lineRule="atLeast"/>
      <w:jc w:val="both"/>
      <w:textAlignment w:val="baseline"/>
      <w:outlineLvl w:val="1"/>
    </w:pPr>
    <w:rPr>
      <w:rFonts w:asciiTheme="majorHAnsi" w:eastAsiaTheme="majorEastAsia" w:hAnsiTheme="majorHAnsi" w:cstheme="majorBidi"/>
      <w:b/>
      <w:bCs/>
      <w:color w:val="4F81BD" w:themeColor="accent1"/>
      <w:sz w:val="26"/>
      <w:szCs w:val="26"/>
      <w:lang w:eastAsia="lv-LV"/>
    </w:rPr>
  </w:style>
  <w:style w:type="paragraph" w:styleId="Heading3">
    <w:name w:val="heading 3"/>
    <w:basedOn w:val="Normal"/>
    <w:next w:val="Normal"/>
    <w:link w:val="Heading3Char"/>
    <w:uiPriority w:val="9"/>
    <w:unhideWhenUsed/>
    <w:qFormat/>
    <w:rsid w:val="0038735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38735E"/>
    <w:pPr>
      <w:keepNext/>
      <w:keepLines/>
      <w:widowControl w:val="0"/>
      <w:adjustRightInd w:val="0"/>
      <w:spacing w:before="200" w:after="0" w:line="360" w:lineRule="atLeast"/>
      <w:jc w:val="both"/>
      <w:textAlignment w:val="baseline"/>
      <w:outlineLvl w:val="3"/>
    </w:pPr>
    <w:rPr>
      <w:rFonts w:asciiTheme="majorHAnsi" w:eastAsiaTheme="majorEastAsia" w:hAnsiTheme="majorHAnsi" w:cstheme="majorBidi"/>
      <w:b/>
      <w:bCs/>
      <w:i/>
      <w:iCs/>
      <w:color w:val="4F81BD" w:themeColor="accent1"/>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2E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E5F"/>
    <w:rPr>
      <w:rFonts w:ascii="Tahoma" w:hAnsi="Tahoma" w:cs="Tahoma"/>
      <w:sz w:val="16"/>
      <w:szCs w:val="16"/>
    </w:rPr>
  </w:style>
  <w:style w:type="character" w:styleId="Hyperlink">
    <w:name w:val="Hyperlink"/>
    <w:basedOn w:val="DefaultParagraphFont"/>
    <w:uiPriority w:val="99"/>
    <w:rsid w:val="0038735E"/>
    <w:rPr>
      <w:rFonts w:cs="Times New Roman"/>
      <w:color w:val="0000FF"/>
      <w:u w:val="single"/>
    </w:rPr>
  </w:style>
  <w:style w:type="paragraph" w:styleId="TOC1">
    <w:name w:val="toc 1"/>
    <w:basedOn w:val="Normal"/>
    <w:next w:val="Normal"/>
    <w:autoRedefine/>
    <w:uiPriority w:val="39"/>
    <w:qFormat/>
    <w:rsid w:val="0038735E"/>
    <w:pPr>
      <w:widowControl w:val="0"/>
      <w:adjustRightInd w:val="0"/>
      <w:spacing w:before="120" w:after="120" w:line="360" w:lineRule="atLeast"/>
      <w:textAlignment w:val="baseline"/>
    </w:pPr>
    <w:rPr>
      <w:rFonts w:eastAsia="Times New Roman" w:cstheme="minorHAnsi"/>
      <w:b/>
      <w:bCs/>
      <w:caps/>
      <w:sz w:val="20"/>
      <w:szCs w:val="20"/>
      <w:lang w:eastAsia="lv-LV"/>
    </w:rPr>
  </w:style>
  <w:style w:type="paragraph" w:styleId="TOC2">
    <w:name w:val="toc 2"/>
    <w:basedOn w:val="Normal"/>
    <w:next w:val="Normal"/>
    <w:autoRedefine/>
    <w:uiPriority w:val="39"/>
    <w:qFormat/>
    <w:rsid w:val="0038735E"/>
    <w:pPr>
      <w:widowControl w:val="0"/>
      <w:adjustRightInd w:val="0"/>
      <w:spacing w:after="0" w:line="360" w:lineRule="atLeast"/>
      <w:ind w:left="240"/>
      <w:textAlignment w:val="baseline"/>
    </w:pPr>
    <w:rPr>
      <w:rFonts w:eastAsia="Times New Roman" w:cstheme="minorHAnsi"/>
      <w:smallCaps/>
      <w:sz w:val="20"/>
      <w:szCs w:val="20"/>
      <w:lang w:eastAsia="lv-LV"/>
    </w:rPr>
  </w:style>
  <w:style w:type="paragraph" w:styleId="TOC3">
    <w:name w:val="toc 3"/>
    <w:basedOn w:val="Normal"/>
    <w:next w:val="Normal"/>
    <w:autoRedefine/>
    <w:uiPriority w:val="39"/>
    <w:qFormat/>
    <w:rsid w:val="0038735E"/>
    <w:pPr>
      <w:widowControl w:val="0"/>
      <w:adjustRightInd w:val="0"/>
      <w:spacing w:after="0" w:line="360" w:lineRule="atLeast"/>
      <w:ind w:left="480"/>
      <w:textAlignment w:val="baseline"/>
    </w:pPr>
    <w:rPr>
      <w:rFonts w:eastAsia="Times New Roman" w:cstheme="minorHAnsi"/>
      <w:i/>
      <w:iCs/>
      <w:sz w:val="20"/>
      <w:szCs w:val="20"/>
      <w:lang w:eastAsia="lv-LV"/>
    </w:rPr>
  </w:style>
  <w:style w:type="character" w:customStyle="1" w:styleId="Heading1Char">
    <w:name w:val="Heading 1 Char"/>
    <w:basedOn w:val="DefaultParagraphFont"/>
    <w:link w:val="Heading1"/>
    <w:uiPriority w:val="9"/>
    <w:rsid w:val="0038735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8735E"/>
    <w:pPr>
      <w:spacing w:after="120"/>
      <w:outlineLvl w:val="9"/>
    </w:pPr>
    <w:rPr>
      <w:bCs w:val="0"/>
      <w:caps/>
      <w:sz w:val="20"/>
      <w:szCs w:val="20"/>
      <w:lang w:val="en-US" w:eastAsia="ja-JP"/>
    </w:rPr>
  </w:style>
  <w:style w:type="character" w:customStyle="1" w:styleId="Heading3Char">
    <w:name w:val="Heading 3 Char"/>
    <w:basedOn w:val="DefaultParagraphFont"/>
    <w:link w:val="Heading3"/>
    <w:uiPriority w:val="9"/>
    <w:rsid w:val="0038735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8735E"/>
    <w:rPr>
      <w:rFonts w:asciiTheme="majorHAnsi" w:eastAsiaTheme="majorEastAsia" w:hAnsiTheme="majorHAnsi" w:cstheme="majorBidi"/>
      <w:b/>
      <w:bCs/>
      <w:i/>
      <w:iCs/>
      <w:color w:val="4F81BD" w:themeColor="accent1"/>
      <w:sz w:val="24"/>
      <w:szCs w:val="24"/>
      <w:lang w:eastAsia="lv-LV"/>
    </w:rPr>
  </w:style>
  <w:style w:type="table" w:styleId="LightGrid-Accent1">
    <w:name w:val="Light Grid Accent 1"/>
    <w:basedOn w:val="TableNormal"/>
    <w:uiPriority w:val="62"/>
    <w:rsid w:val="0038735E"/>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Heading2Char">
    <w:name w:val="Heading 2 Char"/>
    <w:basedOn w:val="DefaultParagraphFont"/>
    <w:link w:val="Heading2"/>
    <w:rsid w:val="009A0F95"/>
    <w:rPr>
      <w:rFonts w:asciiTheme="majorHAnsi" w:eastAsiaTheme="majorEastAsia" w:hAnsiTheme="majorHAnsi" w:cstheme="majorBidi"/>
      <w:b/>
      <w:bCs/>
      <w:color w:val="4F81BD" w:themeColor="accent1"/>
      <w:sz w:val="26"/>
      <w:szCs w:val="26"/>
      <w:lang w:eastAsia="lv-LV"/>
    </w:rPr>
  </w:style>
  <w:style w:type="paragraph" w:styleId="ListParagraph">
    <w:name w:val="List Paragraph"/>
    <w:basedOn w:val="Normal"/>
    <w:uiPriority w:val="34"/>
    <w:qFormat/>
    <w:rsid w:val="009A0F95"/>
    <w:pPr>
      <w:widowControl w:val="0"/>
      <w:adjustRightInd w:val="0"/>
      <w:spacing w:after="0" w:line="360" w:lineRule="atLeast"/>
      <w:ind w:left="720"/>
      <w:contextualSpacing/>
      <w:jc w:val="both"/>
      <w:textAlignment w:val="baseline"/>
    </w:pPr>
    <w:rPr>
      <w:rFonts w:ascii="Times New Roman" w:eastAsia="Times New Roman" w:hAnsi="Times New Roman" w:cs="Times New Roman"/>
      <w:sz w:val="24"/>
      <w:szCs w:val="24"/>
      <w:lang w:eastAsia="lv-LV"/>
    </w:rPr>
  </w:style>
  <w:style w:type="paragraph" w:customStyle="1" w:styleId="Default">
    <w:name w:val="Default"/>
    <w:rsid w:val="009A0F9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076CDA"/>
    <w:pPr>
      <w:tabs>
        <w:tab w:val="center" w:pos="4153"/>
        <w:tab w:val="right" w:pos="8306"/>
      </w:tabs>
      <w:spacing w:after="0" w:line="240" w:lineRule="auto"/>
    </w:pPr>
  </w:style>
  <w:style w:type="character" w:customStyle="1" w:styleId="HeaderChar">
    <w:name w:val="Header Char"/>
    <w:basedOn w:val="DefaultParagraphFont"/>
    <w:link w:val="Header"/>
    <w:uiPriority w:val="99"/>
    <w:rsid w:val="00076CDA"/>
  </w:style>
  <w:style w:type="paragraph" w:styleId="Footer">
    <w:name w:val="footer"/>
    <w:basedOn w:val="Normal"/>
    <w:link w:val="FooterChar"/>
    <w:uiPriority w:val="99"/>
    <w:unhideWhenUsed/>
    <w:rsid w:val="00076CDA"/>
    <w:pPr>
      <w:tabs>
        <w:tab w:val="center" w:pos="4153"/>
        <w:tab w:val="right" w:pos="8306"/>
      </w:tabs>
      <w:spacing w:after="0" w:line="240" w:lineRule="auto"/>
    </w:pPr>
  </w:style>
  <w:style w:type="character" w:customStyle="1" w:styleId="FooterChar">
    <w:name w:val="Footer Char"/>
    <w:basedOn w:val="DefaultParagraphFont"/>
    <w:link w:val="Footer"/>
    <w:uiPriority w:val="99"/>
    <w:rsid w:val="00076CDA"/>
  </w:style>
  <w:style w:type="table" w:customStyle="1" w:styleId="LightGrid-Accent11">
    <w:name w:val="Light Grid - Accent 11"/>
    <w:basedOn w:val="TableNormal"/>
    <w:uiPriority w:val="62"/>
    <w:rsid w:val="00076CDA"/>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FollowedHyperlink">
    <w:name w:val="FollowedHyperlink"/>
    <w:basedOn w:val="DefaultParagraphFont"/>
    <w:uiPriority w:val="99"/>
    <w:semiHidden/>
    <w:unhideWhenUsed/>
    <w:rsid w:val="006D2F5B"/>
    <w:rPr>
      <w:color w:val="800080" w:themeColor="followedHyperlink"/>
      <w:u w:val="single"/>
    </w:rPr>
  </w:style>
  <w:style w:type="paragraph" w:customStyle="1" w:styleId="tvhtml1">
    <w:name w:val="tv_html1"/>
    <w:basedOn w:val="Normal"/>
    <w:rsid w:val="006D2F5B"/>
    <w:pPr>
      <w:spacing w:before="100" w:beforeAutospacing="1" w:after="0" w:line="360" w:lineRule="auto"/>
    </w:pPr>
    <w:rPr>
      <w:rFonts w:ascii="Verdana" w:eastAsia="Times New Roman" w:hAnsi="Verdana" w:cs="Times New Roman"/>
      <w:sz w:val="15"/>
      <w:szCs w:val="15"/>
      <w:lang w:eastAsia="lv-LV"/>
    </w:rPr>
  </w:style>
  <w:style w:type="paragraph" w:styleId="FootnoteText">
    <w:name w:val="footnote text"/>
    <w:basedOn w:val="Normal"/>
    <w:link w:val="FootnoteTextChar1"/>
    <w:semiHidden/>
    <w:unhideWhenUsed/>
    <w:rsid w:val="006D2F5B"/>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uiPriority w:val="99"/>
    <w:semiHidden/>
    <w:rsid w:val="006D2F5B"/>
    <w:rPr>
      <w:sz w:val="20"/>
      <w:szCs w:val="20"/>
    </w:rPr>
  </w:style>
  <w:style w:type="character" w:customStyle="1" w:styleId="FootnoteTextChar1">
    <w:name w:val="Footnote Text Char1"/>
    <w:link w:val="FootnoteText"/>
    <w:semiHidden/>
    <w:rsid w:val="006D2F5B"/>
    <w:rPr>
      <w:rFonts w:ascii="Calibri" w:eastAsia="Calibri" w:hAnsi="Calibri" w:cs="Times New Roman"/>
      <w:sz w:val="20"/>
      <w:szCs w:val="20"/>
    </w:rPr>
  </w:style>
  <w:style w:type="character" w:styleId="FootnoteReference">
    <w:name w:val="footnote reference"/>
    <w:uiPriority w:val="99"/>
    <w:semiHidden/>
    <w:unhideWhenUsed/>
    <w:rsid w:val="006D2F5B"/>
    <w:rPr>
      <w:vertAlign w:val="superscript"/>
    </w:rPr>
  </w:style>
  <w:style w:type="paragraph" w:styleId="NoSpacing">
    <w:name w:val="No Spacing"/>
    <w:link w:val="NoSpacingChar"/>
    <w:uiPriority w:val="99"/>
    <w:qFormat/>
    <w:rsid w:val="006D2F5B"/>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99"/>
    <w:rsid w:val="006D2F5B"/>
    <w:rPr>
      <w:rFonts w:eastAsiaTheme="minorEastAsia"/>
      <w:lang w:val="en-US" w:eastAsia="ja-JP"/>
    </w:rPr>
  </w:style>
  <w:style w:type="paragraph" w:styleId="TOC4">
    <w:name w:val="toc 4"/>
    <w:basedOn w:val="Normal"/>
    <w:next w:val="Normal"/>
    <w:autoRedefine/>
    <w:uiPriority w:val="39"/>
    <w:unhideWhenUsed/>
    <w:rsid w:val="006D2F5B"/>
    <w:pPr>
      <w:widowControl w:val="0"/>
      <w:adjustRightInd w:val="0"/>
      <w:spacing w:after="0" w:line="360" w:lineRule="atLeast"/>
      <w:ind w:left="720"/>
      <w:textAlignment w:val="baseline"/>
    </w:pPr>
    <w:rPr>
      <w:rFonts w:eastAsia="Times New Roman" w:cstheme="minorHAnsi"/>
      <w:sz w:val="18"/>
      <w:szCs w:val="18"/>
      <w:lang w:eastAsia="lv-LV"/>
    </w:rPr>
  </w:style>
  <w:style w:type="paragraph" w:styleId="TOC5">
    <w:name w:val="toc 5"/>
    <w:basedOn w:val="Normal"/>
    <w:next w:val="Normal"/>
    <w:autoRedefine/>
    <w:uiPriority w:val="39"/>
    <w:unhideWhenUsed/>
    <w:rsid w:val="006D2F5B"/>
    <w:pPr>
      <w:widowControl w:val="0"/>
      <w:adjustRightInd w:val="0"/>
      <w:spacing w:after="0" w:line="360" w:lineRule="atLeast"/>
      <w:ind w:left="960"/>
      <w:textAlignment w:val="baseline"/>
    </w:pPr>
    <w:rPr>
      <w:rFonts w:eastAsia="Times New Roman" w:cstheme="minorHAnsi"/>
      <w:sz w:val="18"/>
      <w:szCs w:val="18"/>
      <w:lang w:eastAsia="lv-LV"/>
    </w:rPr>
  </w:style>
  <w:style w:type="paragraph" w:styleId="TOC6">
    <w:name w:val="toc 6"/>
    <w:basedOn w:val="Normal"/>
    <w:next w:val="Normal"/>
    <w:autoRedefine/>
    <w:uiPriority w:val="39"/>
    <w:unhideWhenUsed/>
    <w:rsid w:val="006D2F5B"/>
    <w:pPr>
      <w:widowControl w:val="0"/>
      <w:adjustRightInd w:val="0"/>
      <w:spacing w:after="0" w:line="360" w:lineRule="atLeast"/>
      <w:ind w:left="1200"/>
      <w:textAlignment w:val="baseline"/>
    </w:pPr>
    <w:rPr>
      <w:rFonts w:eastAsia="Times New Roman" w:cstheme="minorHAnsi"/>
      <w:sz w:val="18"/>
      <w:szCs w:val="18"/>
      <w:lang w:eastAsia="lv-LV"/>
    </w:rPr>
  </w:style>
  <w:style w:type="paragraph" w:styleId="TOC7">
    <w:name w:val="toc 7"/>
    <w:basedOn w:val="Normal"/>
    <w:next w:val="Normal"/>
    <w:autoRedefine/>
    <w:uiPriority w:val="39"/>
    <w:unhideWhenUsed/>
    <w:rsid w:val="006D2F5B"/>
    <w:pPr>
      <w:widowControl w:val="0"/>
      <w:adjustRightInd w:val="0"/>
      <w:spacing w:after="0" w:line="360" w:lineRule="atLeast"/>
      <w:ind w:left="1440"/>
      <w:textAlignment w:val="baseline"/>
    </w:pPr>
    <w:rPr>
      <w:rFonts w:eastAsia="Times New Roman" w:cstheme="minorHAnsi"/>
      <w:sz w:val="18"/>
      <w:szCs w:val="18"/>
      <w:lang w:eastAsia="lv-LV"/>
    </w:rPr>
  </w:style>
  <w:style w:type="paragraph" w:styleId="TOC8">
    <w:name w:val="toc 8"/>
    <w:basedOn w:val="Normal"/>
    <w:next w:val="Normal"/>
    <w:autoRedefine/>
    <w:uiPriority w:val="39"/>
    <w:unhideWhenUsed/>
    <w:rsid w:val="006D2F5B"/>
    <w:pPr>
      <w:widowControl w:val="0"/>
      <w:adjustRightInd w:val="0"/>
      <w:spacing w:after="0" w:line="360" w:lineRule="atLeast"/>
      <w:ind w:left="1680"/>
      <w:textAlignment w:val="baseline"/>
    </w:pPr>
    <w:rPr>
      <w:rFonts w:eastAsia="Times New Roman" w:cstheme="minorHAnsi"/>
      <w:sz w:val="18"/>
      <w:szCs w:val="18"/>
      <w:lang w:eastAsia="lv-LV"/>
    </w:rPr>
  </w:style>
  <w:style w:type="paragraph" w:styleId="TOC9">
    <w:name w:val="toc 9"/>
    <w:basedOn w:val="Normal"/>
    <w:next w:val="Normal"/>
    <w:autoRedefine/>
    <w:uiPriority w:val="39"/>
    <w:unhideWhenUsed/>
    <w:rsid w:val="006D2F5B"/>
    <w:pPr>
      <w:widowControl w:val="0"/>
      <w:adjustRightInd w:val="0"/>
      <w:spacing w:after="0" w:line="360" w:lineRule="atLeast"/>
      <w:ind w:left="1920"/>
      <w:textAlignment w:val="baseline"/>
    </w:pPr>
    <w:rPr>
      <w:rFonts w:eastAsia="Times New Roman" w:cstheme="minorHAnsi"/>
      <w:sz w:val="18"/>
      <w:szCs w:val="18"/>
      <w:lang w:eastAsia="lv-LV"/>
    </w:rPr>
  </w:style>
  <w:style w:type="character" w:styleId="CommentReference">
    <w:name w:val="annotation reference"/>
    <w:basedOn w:val="DefaultParagraphFont"/>
    <w:uiPriority w:val="99"/>
    <w:semiHidden/>
    <w:unhideWhenUsed/>
    <w:rsid w:val="006D2F5B"/>
    <w:rPr>
      <w:sz w:val="16"/>
      <w:szCs w:val="16"/>
    </w:rPr>
  </w:style>
  <w:style w:type="paragraph" w:styleId="CommentText">
    <w:name w:val="annotation text"/>
    <w:basedOn w:val="Normal"/>
    <w:link w:val="CommentTextChar"/>
    <w:uiPriority w:val="99"/>
    <w:semiHidden/>
    <w:unhideWhenUsed/>
    <w:rsid w:val="006D2F5B"/>
    <w:pPr>
      <w:widowControl w:val="0"/>
      <w:adjustRightInd w:val="0"/>
      <w:spacing w:after="0" w:line="240" w:lineRule="auto"/>
      <w:jc w:val="both"/>
      <w:textAlignment w:val="baseline"/>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6D2F5B"/>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6D2F5B"/>
    <w:rPr>
      <w:b/>
      <w:bCs/>
    </w:rPr>
  </w:style>
  <w:style w:type="character" w:customStyle="1" w:styleId="CommentSubjectChar">
    <w:name w:val="Comment Subject Char"/>
    <w:basedOn w:val="CommentTextChar"/>
    <w:link w:val="CommentSubject"/>
    <w:uiPriority w:val="99"/>
    <w:semiHidden/>
    <w:rsid w:val="006D2F5B"/>
    <w:rPr>
      <w:rFonts w:ascii="Times New Roman" w:eastAsia="Times New Roman" w:hAnsi="Times New Roman" w:cs="Times New Roman"/>
      <w:b/>
      <w:bCs/>
      <w:sz w:val="20"/>
      <w:szCs w:val="20"/>
      <w:lang w:eastAsia="lv-LV"/>
    </w:rPr>
  </w:style>
  <w:style w:type="character" w:styleId="Strong">
    <w:name w:val="Strong"/>
    <w:basedOn w:val="DefaultParagraphFont"/>
    <w:uiPriority w:val="22"/>
    <w:qFormat/>
    <w:rsid w:val="006D2F5B"/>
    <w:rPr>
      <w:b/>
      <w:bCs/>
    </w:rPr>
  </w:style>
  <w:style w:type="paragraph" w:styleId="Revision">
    <w:name w:val="Revision"/>
    <w:hidden/>
    <w:uiPriority w:val="99"/>
    <w:semiHidden/>
    <w:rsid w:val="006D2F5B"/>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diagramQuickStyle" Target="diagrams/quickStyle1.xml"/><Relationship Id="rId26" Type="http://schemas.openxmlformats.org/officeDocument/2006/relationships/image" Target="media/image9.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15.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diagramLayout" Target="diagrams/layout1.xml"/><Relationship Id="rId25" Type="http://schemas.openxmlformats.org/officeDocument/2006/relationships/image" Target="media/image8.jpeg"/><Relationship Id="rId33" Type="http://schemas.openxmlformats.org/officeDocument/2006/relationships/hyperlink" Target="http://pratigais-pateret&#257;js.percgudri.lv/game/start" TargetMode="External"/><Relationship Id="rId38" Type="http://schemas.openxmlformats.org/officeDocument/2006/relationships/package" Target="embeddings/Microsoft_Excel_Worksheet1.xlsx"/><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jpeg"/><Relationship Id="rId32" Type="http://schemas.openxmlformats.org/officeDocument/2006/relationships/image" Target="media/image14.JPG"/><Relationship Id="rId37" Type="http://schemas.openxmlformats.org/officeDocument/2006/relationships/image" Target="media/image17.emf"/><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6.jpeg"/><Relationship Id="rId28" Type="http://schemas.openxmlformats.org/officeDocument/2006/relationships/image" Target="media/image10.emf"/><Relationship Id="rId36" Type="http://schemas.openxmlformats.org/officeDocument/2006/relationships/image" Target="media/image16.jpeg"/><Relationship Id="rId10" Type="http://schemas.openxmlformats.org/officeDocument/2006/relationships/footer" Target="footer1.xml"/><Relationship Id="rId19" Type="http://schemas.openxmlformats.org/officeDocument/2006/relationships/diagramColors" Target="diagrams/colors1.xml"/><Relationship Id="rId31"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chart" Target="charts/chart1.xml"/><Relationship Id="rId30" Type="http://schemas.openxmlformats.org/officeDocument/2006/relationships/image" Target="media/image12.png"/><Relationship Id="rId35" Type="http://schemas.openxmlformats.org/officeDocument/2006/relationships/hyperlink" Target="http://www.twitter.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Workbook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v>Sūdzību izskatīšanas rezultāti 2013. gadā (2244 sūdzības)</c:v>
          </c:tx>
          <c:dLbls>
            <c:txPr>
              <a:bodyPr/>
              <a:lstStyle/>
              <a:p>
                <a:pPr>
                  <a:defRPr sz="1200"/>
                </a:pPr>
                <a:endParaRPr lang="lv-LV"/>
              </a:p>
            </c:txPr>
            <c:showLegendKey val="0"/>
            <c:showVal val="1"/>
            <c:showCatName val="0"/>
            <c:showSerName val="0"/>
            <c:showPercent val="1"/>
            <c:showBubbleSize val="0"/>
            <c:showLeaderLines val="1"/>
          </c:dLbls>
          <c:cat>
            <c:strRef>
              <c:f>Sheet1!$C$4:$C$11</c:f>
              <c:strCache>
                <c:ptCount val="8"/>
                <c:pt idx="0">
                  <c:v>Rasts pozitīvs risinājums</c:v>
                </c:pt>
                <c:pt idx="1">
                  <c:v>Pieņemts patērētājam labvēligs lēmums</c:v>
                </c:pt>
                <c:pt idx="2">
                  <c:v>Sūdzība nepamatota</c:v>
                </c:pt>
                <c:pt idx="3">
                  <c:v>Sniegts skaidrojums, konsultācija</c:v>
                </c:pt>
                <c:pt idx="4">
                  <c:v>Pārsūtīts citām institūcijām</c:v>
                </c:pt>
                <c:pt idx="5">
                  <c:v>Atsaukts</c:v>
                </c:pt>
                <c:pt idx="6">
                  <c:v>Atteikts</c:v>
                </c:pt>
                <c:pt idx="7">
                  <c:v>Izskatīšanas stadijā</c:v>
                </c:pt>
              </c:strCache>
            </c:strRef>
          </c:cat>
          <c:val>
            <c:numRef>
              <c:f>Sheet1!$E$4:$E$12</c:f>
              <c:numCache>
                <c:formatCode>General</c:formatCode>
                <c:ptCount val="9"/>
                <c:pt idx="0">
                  <c:v>451</c:v>
                </c:pt>
                <c:pt idx="1">
                  <c:v>66</c:v>
                </c:pt>
                <c:pt idx="2">
                  <c:v>23</c:v>
                </c:pt>
                <c:pt idx="3">
                  <c:v>1488</c:v>
                </c:pt>
                <c:pt idx="4">
                  <c:v>100</c:v>
                </c:pt>
                <c:pt idx="5">
                  <c:v>28</c:v>
                </c:pt>
                <c:pt idx="6">
                  <c:v>86</c:v>
                </c:pt>
                <c:pt idx="7">
                  <c:v>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3804319542024457"/>
          <c:y val="0.19451134784622509"/>
          <c:w val="0.34113973458235752"/>
          <c:h val="0.67856215564375821"/>
        </c:manualLayout>
      </c:layout>
      <c:overlay val="0"/>
      <c:txPr>
        <a:bodyPr/>
        <a:lstStyle/>
        <a:p>
          <a:pPr rtl="0">
            <a:defRPr sz="1200"/>
          </a:pPr>
          <a:endParaRPr lang="lv-LV"/>
        </a:p>
      </c:txPr>
    </c:legend>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919E9F-7F91-4F2A-B22F-998BD105E78B}" type="doc">
      <dgm:prSet loTypeId="urn:microsoft.com/office/officeart/2005/8/layout/orgChart1" loCatId="hierarchy" qsTypeId="urn:microsoft.com/office/officeart/2005/8/quickstyle/simple3" qsCatId="simple" csTypeId="urn:microsoft.com/office/officeart/2005/8/colors/accent1_5" csCatId="accent1" phldr="1"/>
      <dgm:spPr/>
      <dgm:t>
        <a:bodyPr/>
        <a:lstStyle/>
        <a:p>
          <a:endParaRPr lang="lv-LV"/>
        </a:p>
      </dgm:t>
    </dgm:pt>
    <dgm:pt modelId="{3C173D0C-6643-4A9E-951F-2768625A96C8}">
      <dgm:prSet phldrT="[Text]" custT="1"/>
      <dgm:spPr/>
      <dgm:t>
        <a:bodyPr/>
        <a:lstStyle/>
        <a:p>
          <a:r>
            <a:rPr lang="lv-LV" sz="1000" b="1"/>
            <a:t>DIREKTORS</a:t>
          </a:r>
        </a:p>
      </dgm:t>
    </dgm:pt>
    <dgm:pt modelId="{AE830E05-81AB-4E8E-9E5F-0E1E220530CC}" type="parTrans" cxnId="{E88A6B24-4F2E-45EF-B8AE-F62BDEEC0426}">
      <dgm:prSet/>
      <dgm:spPr/>
      <dgm:t>
        <a:bodyPr/>
        <a:lstStyle/>
        <a:p>
          <a:endParaRPr lang="lv-LV"/>
        </a:p>
      </dgm:t>
    </dgm:pt>
    <dgm:pt modelId="{D5D0C45B-E8DF-402E-9D4A-77EAB67798BC}" type="sibTrans" cxnId="{E88A6B24-4F2E-45EF-B8AE-F62BDEEC0426}">
      <dgm:prSet/>
      <dgm:spPr/>
      <dgm:t>
        <a:bodyPr/>
        <a:lstStyle/>
        <a:p>
          <a:endParaRPr lang="lv-LV"/>
        </a:p>
      </dgm:t>
    </dgm:pt>
    <dgm:pt modelId="{A37C9B23-3C98-4E40-9DF1-42B7512748ED}">
      <dgm:prSet phldrT="[Text]"/>
      <dgm:spPr/>
      <dgm:t>
        <a:bodyPr/>
        <a:lstStyle/>
        <a:p>
          <a:r>
            <a:rPr lang="lv-LV"/>
            <a:t>Direktora vietnieks,</a:t>
          </a:r>
        </a:p>
        <a:p>
          <a:r>
            <a:rPr lang="lv-LV"/>
            <a:t>Plānošanas, analīzes </a:t>
          </a:r>
        </a:p>
        <a:p>
          <a:r>
            <a:rPr lang="lv-LV"/>
            <a:t>un kontroles departaments</a:t>
          </a:r>
        </a:p>
      </dgm:t>
    </dgm:pt>
    <dgm:pt modelId="{3F4062E9-37F5-492B-AACC-07DFCD1CA2A0}" type="parTrans" cxnId="{40903BAF-324D-4815-AA4F-1F4DBAF594AA}">
      <dgm:prSet/>
      <dgm:spPr/>
      <dgm:t>
        <a:bodyPr/>
        <a:lstStyle/>
        <a:p>
          <a:endParaRPr lang="lv-LV"/>
        </a:p>
      </dgm:t>
    </dgm:pt>
    <dgm:pt modelId="{D99CE0F0-5764-424B-9BB4-BB439A4C4E08}" type="sibTrans" cxnId="{40903BAF-324D-4815-AA4F-1F4DBAF594AA}">
      <dgm:prSet/>
      <dgm:spPr/>
      <dgm:t>
        <a:bodyPr/>
        <a:lstStyle/>
        <a:p>
          <a:endParaRPr lang="lv-LV"/>
        </a:p>
      </dgm:t>
    </dgm:pt>
    <dgm:pt modelId="{5948222B-CB95-4168-B4E5-92721613774E}">
      <dgm:prSet phldrT="[Text]"/>
      <dgm:spPr/>
      <dgm:t>
        <a:bodyPr/>
        <a:lstStyle/>
        <a:p>
          <a:r>
            <a:rPr lang="lv-LV"/>
            <a:t>Direktora vietnieks,</a:t>
          </a:r>
        </a:p>
        <a:p>
          <a:r>
            <a:rPr lang="lv-LV"/>
            <a:t>Patērētāju tiesību uzraudzības departaments</a:t>
          </a:r>
        </a:p>
      </dgm:t>
    </dgm:pt>
    <dgm:pt modelId="{0B5C9BED-CE0D-4C98-8C21-23A705692B90}" type="parTrans" cxnId="{AF81D0EB-0ABD-4B4A-BF15-7775CDF7355F}">
      <dgm:prSet/>
      <dgm:spPr/>
      <dgm:t>
        <a:bodyPr/>
        <a:lstStyle/>
        <a:p>
          <a:endParaRPr lang="lv-LV"/>
        </a:p>
      </dgm:t>
    </dgm:pt>
    <dgm:pt modelId="{AABFA9C2-FC2C-43BA-9348-522C28F72815}" type="sibTrans" cxnId="{AF81D0EB-0ABD-4B4A-BF15-7775CDF7355F}">
      <dgm:prSet/>
      <dgm:spPr/>
      <dgm:t>
        <a:bodyPr/>
        <a:lstStyle/>
        <a:p>
          <a:endParaRPr lang="lv-LV"/>
        </a:p>
      </dgm:t>
    </dgm:pt>
    <dgm:pt modelId="{7556B193-DBD3-4389-922B-16D3E077B2A0}">
      <dgm:prSet phldrT="[Text]"/>
      <dgm:spPr/>
      <dgm:t>
        <a:bodyPr/>
        <a:lstStyle/>
        <a:p>
          <a:r>
            <a:rPr lang="lv-LV"/>
            <a:t>Grāmatvedības un darba algu daļa</a:t>
          </a:r>
        </a:p>
      </dgm:t>
    </dgm:pt>
    <dgm:pt modelId="{6FA465C5-69C0-4A29-A3C3-89D20A2BFDE1}" type="parTrans" cxnId="{F8E1F838-8A3F-436F-A538-91136DAA7233}">
      <dgm:prSet/>
      <dgm:spPr/>
      <dgm:t>
        <a:bodyPr/>
        <a:lstStyle/>
        <a:p>
          <a:endParaRPr lang="lv-LV"/>
        </a:p>
      </dgm:t>
    </dgm:pt>
    <dgm:pt modelId="{3CE2ECB3-1898-4AE1-8A31-9E1236DF63AE}" type="sibTrans" cxnId="{F8E1F838-8A3F-436F-A538-91136DAA7233}">
      <dgm:prSet/>
      <dgm:spPr/>
      <dgm:t>
        <a:bodyPr/>
        <a:lstStyle/>
        <a:p>
          <a:endParaRPr lang="lv-LV"/>
        </a:p>
      </dgm:t>
    </dgm:pt>
    <dgm:pt modelId="{2325E6CC-7919-44E0-BB9A-53ABB90B72ED}">
      <dgm:prSet phldrT="[Text]"/>
      <dgm:spPr/>
      <dgm:t>
        <a:bodyPr/>
        <a:lstStyle/>
        <a:p>
          <a:r>
            <a:rPr lang="lv-LV"/>
            <a:t>Administratīvais </a:t>
          </a:r>
        </a:p>
        <a:p>
          <a:r>
            <a:rPr lang="lv-LV"/>
            <a:t>sektors</a:t>
          </a:r>
        </a:p>
      </dgm:t>
    </dgm:pt>
    <dgm:pt modelId="{50A0C4F2-3130-482E-9518-A837EB157B99}" type="parTrans" cxnId="{BCEE7499-BCA9-4F9B-BEF3-970EB7303B40}">
      <dgm:prSet/>
      <dgm:spPr/>
      <dgm:t>
        <a:bodyPr/>
        <a:lstStyle/>
        <a:p>
          <a:endParaRPr lang="lv-LV"/>
        </a:p>
      </dgm:t>
    </dgm:pt>
    <dgm:pt modelId="{74D850A1-F47C-4BFC-986E-A13A7271C621}" type="sibTrans" cxnId="{BCEE7499-BCA9-4F9B-BEF3-970EB7303B40}">
      <dgm:prSet/>
      <dgm:spPr/>
      <dgm:t>
        <a:bodyPr/>
        <a:lstStyle/>
        <a:p>
          <a:endParaRPr lang="lv-LV"/>
        </a:p>
      </dgm:t>
    </dgm:pt>
    <dgm:pt modelId="{AFF8ABF9-6F4D-4EED-8517-5D10F0FC5F16}">
      <dgm:prSet phldrT="[Text]"/>
      <dgm:spPr/>
      <dgm:t>
        <a:bodyPr/>
        <a:lstStyle/>
        <a:p>
          <a:r>
            <a:rPr lang="lv-LV"/>
            <a:t>Pirmā patērētāju kolektīvo interešu uzraudzības daļa</a:t>
          </a:r>
        </a:p>
      </dgm:t>
    </dgm:pt>
    <dgm:pt modelId="{9D3F9E35-F666-49CF-A992-C140184B3B1B}" type="parTrans" cxnId="{D7745EE6-929A-4434-A029-807BE0EC85C1}">
      <dgm:prSet/>
      <dgm:spPr/>
      <dgm:t>
        <a:bodyPr/>
        <a:lstStyle/>
        <a:p>
          <a:endParaRPr lang="lv-LV"/>
        </a:p>
      </dgm:t>
    </dgm:pt>
    <dgm:pt modelId="{0722E73F-026D-47E0-80B8-32CD2EFCB149}" type="sibTrans" cxnId="{D7745EE6-929A-4434-A029-807BE0EC85C1}">
      <dgm:prSet/>
      <dgm:spPr/>
      <dgm:t>
        <a:bodyPr/>
        <a:lstStyle/>
        <a:p>
          <a:endParaRPr lang="lv-LV"/>
        </a:p>
      </dgm:t>
    </dgm:pt>
    <dgm:pt modelId="{5A31DF60-F7A4-4397-9106-1BC638A7A2DC}">
      <dgm:prSet phldrT="[Text]"/>
      <dgm:spPr/>
      <dgm:t>
        <a:bodyPr/>
        <a:lstStyle/>
        <a:p>
          <a:r>
            <a:rPr lang="lv-LV"/>
            <a:t>Direktora vietnieks,</a:t>
          </a:r>
        </a:p>
        <a:p>
          <a:r>
            <a:rPr lang="lv-LV"/>
            <a:t>Preču un pakalpojumu uzraudzības departaments </a:t>
          </a:r>
        </a:p>
      </dgm:t>
    </dgm:pt>
    <dgm:pt modelId="{91E05349-058F-4021-B64C-0650F6301834}" type="parTrans" cxnId="{CE5790BA-EF19-4C7D-893E-B886AFCF0692}">
      <dgm:prSet/>
      <dgm:spPr/>
      <dgm:t>
        <a:bodyPr/>
        <a:lstStyle/>
        <a:p>
          <a:endParaRPr lang="lv-LV"/>
        </a:p>
      </dgm:t>
    </dgm:pt>
    <dgm:pt modelId="{02161C1D-BDFA-44A6-A675-7CEED3D8A6C5}" type="sibTrans" cxnId="{CE5790BA-EF19-4C7D-893E-B886AFCF0692}">
      <dgm:prSet/>
      <dgm:spPr/>
      <dgm:t>
        <a:bodyPr/>
        <a:lstStyle/>
        <a:p>
          <a:endParaRPr lang="lv-LV"/>
        </a:p>
      </dgm:t>
    </dgm:pt>
    <dgm:pt modelId="{68E684FC-7C9E-4F1C-97B9-F68E1C3EF22F}">
      <dgm:prSet phldrT="[Text]"/>
      <dgm:spPr/>
      <dgm:t>
        <a:bodyPr/>
        <a:lstStyle/>
        <a:p>
          <a:r>
            <a:rPr lang="lv-LV"/>
            <a:t>Otrā patērētāju kolektīvo interešu uzraudzības daļa</a:t>
          </a:r>
        </a:p>
      </dgm:t>
    </dgm:pt>
    <dgm:pt modelId="{C50B46D1-08B9-4078-8C89-8AC4174C53AD}" type="parTrans" cxnId="{E2FF4218-01D2-44DE-9FE0-2F3C94E73B3E}">
      <dgm:prSet/>
      <dgm:spPr/>
      <dgm:t>
        <a:bodyPr/>
        <a:lstStyle/>
        <a:p>
          <a:endParaRPr lang="lv-LV"/>
        </a:p>
      </dgm:t>
    </dgm:pt>
    <dgm:pt modelId="{E5010456-81F5-41B8-94C6-FAD6A8B99B29}" type="sibTrans" cxnId="{E2FF4218-01D2-44DE-9FE0-2F3C94E73B3E}">
      <dgm:prSet/>
      <dgm:spPr/>
      <dgm:t>
        <a:bodyPr/>
        <a:lstStyle/>
        <a:p>
          <a:endParaRPr lang="lv-LV"/>
        </a:p>
      </dgm:t>
    </dgm:pt>
    <dgm:pt modelId="{F8A5F563-F060-4F73-A109-D0AA9916313B}">
      <dgm:prSet phldrT="[Text]"/>
      <dgm:spPr/>
      <dgm:t>
        <a:bodyPr/>
        <a:lstStyle/>
        <a:p>
          <a:r>
            <a:rPr lang="lv-LV"/>
            <a:t>Finanšu pakalpojumu uzraudzības daļa</a:t>
          </a:r>
        </a:p>
      </dgm:t>
    </dgm:pt>
    <dgm:pt modelId="{6E2B1509-E9CA-4B72-A783-DF840DAEB74A}" type="parTrans" cxnId="{B5C7E06C-605A-4491-8384-0D50A9711A5B}">
      <dgm:prSet/>
      <dgm:spPr/>
      <dgm:t>
        <a:bodyPr/>
        <a:lstStyle/>
        <a:p>
          <a:endParaRPr lang="lv-LV"/>
        </a:p>
      </dgm:t>
    </dgm:pt>
    <dgm:pt modelId="{6A381B70-A6FD-4C38-9EE4-96D3821B19E7}" type="sibTrans" cxnId="{B5C7E06C-605A-4491-8384-0D50A9711A5B}">
      <dgm:prSet/>
      <dgm:spPr/>
      <dgm:t>
        <a:bodyPr/>
        <a:lstStyle/>
        <a:p>
          <a:endParaRPr lang="lv-LV"/>
        </a:p>
      </dgm:t>
    </dgm:pt>
    <dgm:pt modelId="{945FBBA2-FDCE-4B86-91DB-16DBA15EB0EC}">
      <dgm:prSet phldrT="[Text]"/>
      <dgm:spPr/>
      <dgm:t>
        <a:bodyPr/>
        <a:lstStyle/>
        <a:p>
          <a:r>
            <a:rPr lang="lv-LV"/>
            <a:t>Patēriņa preču </a:t>
          </a:r>
        </a:p>
        <a:p>
          <a:r>
            <a:rPr lang="lv-LV"/>
            <a:t>uzraudzības daļa</a:t>
          </a:r>
        </a:p>
      </dgm:t>
    </dgm:pt>
    <dgm:pt modelId="{F0468EB0-D505-47C7-86A2-6A9D3AA1FF87}" type="parTrans" cxnId="{349DD630-0D0A-4190-87B7-44537A015352}">
      <dgm:prSet/>
      <dgm:spPr/>
      <dgm:t>
        <a:bodyPr/>
        <a:lstStyle/>
        <a:p>
          <a:endParaRPr lang="lv-LV"/>
        </a:p>
      </dgm:t>
    </dgm:pt>
    <dgm:pt modelId="{FE8163CC-C4E8-40A7-8546-7D85E47D0621}" type="sibTrans" cxnId="{349DD630-0D0A-4190-87B7-44537A015352}">
      <dgm:prSet/>
      <dgm:spPr/>
      <dgm:t>
        <a:bodyPr/>
        <a:lstStyle/>
        <a:p>
          <a:endParaRPr lang="lv-LV"/>
        </a:p>
      </dgm:t>
    </dgm:pt>
    <dgm:pt modelId="{4C99BD34-F543-449E-841B-254E9571B6EA}">
      <dgm:prSet phldrT="[Text]"/>
      <dgm:spPr/>
      <dgm:t>
        <a:bodyPr/>
        <a:lstStyle/>
        <a:p>
          <a:r>
            <a:rPr lang="lv-LV"/>
            <a:t>Tehniskās un </a:t>
          </a:r>
        </a:p>
        <a:p>
          <a:r>
            <a:rPr lang="lv-LV"/>
            <a:t>metroloģiskās </a:t>
          </a:r>
        </a:p>
        <a:p>
          <a:r>
            <a:rPr lang="lv-LV"/>
            <a:t>uzraudzības daļa</a:t>
          </a:r>
        </a:p>
      </dgm:t>
    </dgm:pt>
    <dgm:pt modelId="{56EBA336-7653-4221-B89B-10E2FDDC1749}" type="parTrans" cxnId="{4575A75D-5072-4CE1-8212-9D2AF3761229}">
      <dgm:prSet/>
      <dgm:spPr/>
      <dgm:t>
        <a:bodyPr/>
        <a:lstStyle/>
        <a:p>
          <a:endParaRPr lang="lv-LV"/>
        </a:p>
      </dgm:t>
    </dgm:pt>
    <dgm:pt modelId="{BBAB1E52-8C27-44E6-AAB9-1199BC69EE7F}" type="sibTrans" cxnId="{4575A75D-5072-4CE1-8212-9D2AF3761229}">
      <dgm:prSet/>
      <dgm:spPr/>
      <dgm:t>
        <a:bodyPr/>
        <a:lstStyle/>
        <a:p>
          <a:endParaRPr lang="lv-LV"/>
        </a:p>
      </dgm:t>
    </dgm:pt>
    <dgm:pt modelId="{06D31213-06A2-4F0D-8ADC-E43CB0E8AC24}">
      <dgm:prSet phldrT="[Text]"/>
      <dgm:spPr/>
      <dgm:t>
        <a:bodyPr/>
        <a:lstStyle/>
        <a:p>
          <a:r>
            <a:rPr lang="lv-LV"/>
            <a:t>Patērētāju konsultāciju </a:t>
          </a:r>
        </a:p>
        <a:p>
          <a:r>
            <a:rPr lang="lv-LV"/>
            <a:t>un sūdzību </a:t>
          </a:r>
        </a:p>
        <a:p>
          <a:r>
            <a:rPr lang="lv-LV"/>
            <a:t>departaments </a:t>
          </a:r>
        </a:p>
      </dgm:t>
    </dgm:pt>
    <dgm:pt modelId="{873318E3-A3F3-4BD1-85CC-6031358691D4}" type="parTrans" cxnId="{1B29D1DF-509B-405F-AE88-1B3980DB33B7}">
      <dgm:prSet/>
      <dgm:spPr/>
      <dgm:t>
        <a:bodyPr/>
        <a:lstStyle/>
        <a:p>
          <a:endParaRPr lang="lv-LV"/>
        </a:p>
      </dgm:t>
    </dgm:pt>
    <dgm:pt modelId="{3C52213B-B084-469E-ADFA-57FAE2A1948C}" type="sibTrans" cxnId="{1B29D1DF-509B-405F-AE88-1B3980DB33B7}">
      <dgm:prSet/>
      <dgm:spPr/>
      <dgm:t>
        <a:bodyPr/>
        <a:lstStyle/>
        <a:p>
          <a:endParaRPr lang="lv-LV"/>
        </a:p>
      </dgm:t>
    </dgm:pt>
    <dgm:pt modelId="{935008D3-267C-4062-A6E5-8967C7C3B6AD}">
      <dgm:prSet phldrT="[Text]"/>
      <dgm:spPr/>
      <dgm:t>
        <a:bodyPr/>
        <a:lstStyle/>
        <a:p>
          <a:r>
            <a:rPr lang="lv-LV"/>
            <a:t>Patērētāju informēšanas un komunikāciju daļa </a:t>
          </a:r>
        </a:p>
      </dgm:t>
    </dgm:pt>
    <dgm:pt modelId="{B0A13297-E3E0-4013-84B0-82CA9C7CB62C}" type="parTrans" cxnId="{EDB9F8BE-B03F-406A-80EE-A95AABFC1A3B}">
      <dgm:prSet/>
      <dgm:spPr/>
      <dgm:t>
        <a:bodyPr/>
        <a:lstStyle/>
        <a:p>
          <a:endParaRPr lang="lv-LV"/>
        </a:p>
      </dgm:t>
    </dgm:pt>
    <dgm:pt modelId="{60FFCF09-8C06-4C5F-B7C1-FC30D5E68572}" type="sibTrans" cxnId="{EDB9F8BE-B03F-406A-80EE-A95AABFC1A3B}">
      <dgm:prSet/>
      <dgm:spPr/>
      <dgm:t>
        <a:bodyPr/>
        <a:lstStyle/>
        <a:p>
          <a:endParaRPr lang="lv-LV"/>
        </a:p>
      </dgm:t>
    </dgm:pt>
    <dgm:pt modelId="{90B41005-B98B-45EA-A5FF-A1A17F150BEA}">
      <dgm:prSet phldrT="[Text]"/>
      <dgm:spPr/>
      <dgm:t>
        <a:bodyPr/>
        <a:lstStyle/>
        <a:p>
          <a:r>
            <a:rPr lang="lv-LV"/>
            <a:t>ES Patērētāju </a:t>
          </a:r>
        </a:p>
        <a:p>
          <a:r>
            <a:rPr lang="lv-LV"/>
            <a:t>informēšanas centrs </a:t>
          </a:r>
        </a:p>
      </dgm:t>
    </dgm:pt>
    <dgm:pt modelId="{533736F9-0B57-40E2-9B6D-8D099AD9D1A8}" type="parTrans" cxnId="{6445B792-421B-4B64-B277-5E897630553F}">
      <dgm:prSet/>
      <dgm:spPr/>
      <dgm:t>
        <a:bodyPr/>
        <a:lstStyle/>
        <a:p>
          <a:endParaRPr lang="lv-LV"/>
        </a:p>
      </dgm:t>
    </dgm:pt>
    <dgm:pt modelId="{C2EFA9AE-CB7C-458C-8556-EF41CB16C82A}" type="sibTrans" cxnId="{6445B792-421B-4B64-B277-5E897630553F}">
      <dgm:prSet/>
      <dgm:spPr/>
      <dgm:t>
        <a:bodyPr/>
        <a:lstStyle/>
        <a:p>
          <a:endParaRPr lang="lv-LV"/>
        </a:p>
      </dgm:t>
    </dgm:pt>
    <dgm:pt modelId="{EC0D339E-CF5F-4483-8035-3BBADE1D81CD}">
      <dgm:prSet phldrT="[Text]"/>
      <dgm:spPr/>
      <dgm:t>
        <a:bodyPr/>
        <a:lstStyle/>
        <a:p>
          <a:r>
            <a:rPr lang="lv-LV"/>
            <a:t>Daugavpils reģionālā pārvalde</a:t>
          </a:r>
        </a:p>
      </dgm:t>
    </dgm:pt>
    <dgm:pt modelId="{73447D19-73F0-4ACF-8727-7AEB8839C2DA}" type="parTrans" cxnId="{358DF7A5-5778-4C00-91AF-7F84503D9CF6}">
      <dgm:prSet/>
      <dgm:spPr/>
      <dgm:t>
        <a:bodyPr/>
        <a:lstStyle/>
        <a:p>
          <a:endParaRPr lang="lv-LV"/>
        </a:p>
      </dgm:t>
    </dgm:pt>
    <dgm:pt modelId="{99FC0496-1DF9-430F-9981-21819341CE63}" type="sibTrans" cxnId="{358DF7A5-5778-4C00-91AF-7F84503D9CF6}">
      <dgm:prSet/>
      <dgm:spPr/>
      <dgm:t>
        <a:bodyPr/>
        <a:lstStyle/>
        <a:p>
          <a:endParaRPr lang="lv-LV"/>
        </a:p>
      </dgm:t>
    </dgm:pt>
    <dgm:pt modelId="{0657BD6A-2EBD-4038-96CA-C7DFEE103BB6}" type="pres">
      <dgm:prSet presAssocID="{4C919E9F-7F91-4F2A-B22F-998BD105E78B}" presName="hierChild1" presStyleCnt="0">
        <dgm:presLayoutVars>
          <dgm:orgChart val="1"/>
          <dgm:chPref val="1"/>
          <dgm:dir/>
          <dgm:animOne val="branch"/>
          <dgm:animLvl val="lvl"/>
          <dgm:resizeHandles/>
        </dgm:presLayoutVars>
      </dgm:prSet>
      <dgm:spPr/>
      <dgm:t>
        <a:bodyPr/>
        <a:lstStyle/>
        <a:p>
          <a:endParaRPr lang="lv-LV"/>
        </a:p>
      </dgm:t>
    </dgm:pt>
    <dgm:pt modelId="{A62B3475-BBF2-4AD0-BE58-9F6AC1106186}" type="pres">
      <dgm:prSet presAssocID="{3C173D0C-6643-4A9E-951F-2768625A96C8}" presName="hierRoot1" presStyleCnt="0">
        <dgm:presLayoutVars>
          <dgm:hierBranch val="init"/>
        </dgm:presLayoutVars>
      </dgm:prSet>
      <dgm:spPr/>
    </dgm:pt>
    <dgm:pt modelId="{1B8357C9-C2B0-4788-9B1B-FE83B453F491}" type="pres">
      <dgm:prSet presAssocID="{3C173D0C-6643-4A9E-951F-2768625A96C8}" presName="rootComposite1" presStyleCnt="0"/>
      <dgm:spPr/>
    </dgm:pt>
    <dgm:pt modelId="{CE08D443-3EB3-4BA7-A9AE-66751BAE263C}" type="pres">
      <dgm:prSet presAssocID="{3C173D0C-6643-4A9E-951F-2768625A96C8}" presName="rootText1" presStyleLbl="node0" presStyleIdx="0" presStyleCnt="1" custLinFactY="-8871" custLinFactNeighborX="51628" custLinFactNeighborY="-100000">
        <dgm:presLayoutVars>
          <dgm:chPref val="3"/>
        </dgm:presLayoutVars>
      </dgm:prSet>
      <dgm:spPr/>
      <dgm:t>
        <a:bodyPr/>
        <a:lstStyle/>
        <a:p>
          <a:endParaRPr lang="lv-LV"/>
        </a:p>
      </dgm:t>
    </dgm:pt>
    <dgm:pt modelId="{38091224-5D41-41ED-BF83-877ADEFDFFCE}" type="pres">
      <dgm:prSet presAssocID="{3C173D0C-6643-4A9E-951F-2768625A96C8}" presName="rootConnector1" presStyleLbl="node1" presStyleIdx="0" presStyleCnt="0"/>
      <dgm:spPr/>
      <dgm:t>
        <a:bodyPr/>
        <a:lstStyle/>
        <a:p>
          <a:endParaRPr lang="lv-LV"/>
        </a:p>
      </dgm:t>
    </dgm:pt>
    <dgm:pt modelId="{1467863A-81A5-422B-BB30-C0FA6213FEE5}" type="pres">
      <dgm:prSet presAssocID="{3C173D0C-6643-4A9E-951F-2768625A96C8}" presName="hierChild2" presStyleCnt="0"/>
      <dgm:spPr/>
    </dgm:pt>
    <dgm:pt modelId="{BC83312B-2803-41F6-A913-2E6E0E12097D}" type="pres">
      <dgm:prSet presAssocID="{3F4062E9-37F5-492B-AACC-07DFCD1CA2A0}" presName="Name37" presStyleLbl="parChTrans1D2" presStyleIdx="0" presStyleCnt="7"/>
      <dgm:spPr/>
      <dgm:t>
        <a:bodyPr/>
        <a:lstStyle/>
        <a:p>
          <a:endParaRPr lang="lv-LV"/>
        </a:p>
      </dgm:t>
    </dgm:pt>
    <dgm:pt modelId="{46D184CA-B58C-4530-A7CC-374FC403EB52}" type="pres">
      <dgm:prSet presAssocID="{A37C9B23-3C98-4E40-9DF1-42B7512748ED}" presName="hierRoot2" presStyleCnt="0">
        <dgm:presLayoutVars>
          <dgm:hierBranch val="init"/>
        </dgm:presLayoutVars>
      </dgm:prSet>
      <dgm:spPr/>
    </dgm:pt>
    <dgm:pt modelId="{75DA3228-0102-4375-A88E-1ED47C0760DA}" type="pres">
      <dgm:prSet presAssocID="{A37C9B23-3C98-4E40-9DF1-42B7512748ED}" presName="rootComposite" presStyleCnt="0"/>
      <dgm:spPr/>
    </dgm:pt>
    <dgm:pt modelId="{F64565BC-95D3-4F0D-A921-C96B506AC33D}" type="pres">
      <dgm:prSet presAssocID="{A37C9B23-3C98-4E40-9DF1-42B7512748ED}" presName="rootText" presStyleLbl="node2" presStyleIdx="0" presStyleCnt="7" custLinFactY="-7213" custLinFactNeighborX="27590" custLinFactNeighborY="-100000">
        <dgm:presLayoutVars>
          <dgm:chPref val="3"/>
        </dgm:presLayoutVars>
      </dgm:prSet>
      <dgm:spPr/>
      <dgm:t>
        <a:bodyPr/>
        <a:lstStyle/>
        <a:p>
          <a:endParaRPr lang="lv-LV"/>
        </a:p>
      </dgm:t>
    </dgm:pt>
    <dgm:pt modelId="{2EE4677A-0FD3-4797-8565-5D9A3C5FEB1A}" type="pres">
      <dgm:prSet presAssocID="{A37C9B23-3C98-4E40-9DF1-42B7512748ED}" presName="rootConnector" presStyleLbl="node2" presStyleIdx="0" presStyleCnt="7"/>
      <dgm:spPr/>
      <dgm:t>
        <a:bodyPr/>
        <a:lstStyle/>
        <a:p>
          <a:endParaRPr lang="lv-LV"/>
        </a:p>
      </dgm:t>
    </dgm:pt>
    <dgm:pt modelId="{7D4796D9-4160-421F-BF08-941517A85935}" type="pres">
      <dgm:prSet presAssocID="{A37C9B23-3C98-4E40-9DF1-42B7512748ED}" presName="hierChild4" presStyleCnt="0"/>
      <dgm:spPr/>
    </dgm:pt>
    <dgm:pt modelId="{CA363247-8BCF-4D7E-9E97-3568F6FD8ADA}" type="pres">
      <dgm:prSet presAssocID="{6FA465C5-69C0-4A29-A3C3-89D20A2BFDE1}" presName="Name37" presStyleLbl="parChTrans1D3" presStyleIdx="0" presStyleCnt="7"/>
      <dgm:spPr/>
      <dgm:t>
        <a:bodyPr/>
        <a:lstStyle/>
        <a:p>
          <a:endParaRPr lang="lv-LV"/>
        </a:p>
      </dgm:t>
    </dgm:pt>
    <dgm:pt modelId="{0F7CD997-9648-4E3B-93E7-B25722CEDF16}" type="pres">
      <dgm:prSet presAssocID="{7556B193-DBD3-4389-922B-16D3E077B2A0}" presName="hierRoot2" presStyleCnt="0">
        <dgm:presLayoutVars>
          <dgm:hierBranch val="init"/>
        </dgm:presLayoutVars>
      </dgm:prSet>
      <dgm:spPr/>
    </dgm:pt>
    <dgm:pt modelId="{E2C2C022-5F48-4F1E-9980-A6AA2769D6D3}" type="pres">
      <dgm:prSet presAssocID="{7556B193-DBD3-4389-922B-16D3E077B2A0}" presName="rootComposite" presStyleCnt="0"/>
      <dgm:spPr/>
    </dgm:pt>
    <dgm:pt modelId="{DCE56066-85B6-41F2-BA2E-42038C7C8085}" type="pres">
      <dgm:prSet presAssocID="{7556B193-DBD3-4389-922B-16D3E077B2A0}" presName="rootText" presStyleLbl="node3" presStyleIdx="0" presStyleCnt="7" custLinFactY="-8871" custLinFactNeighborX="51628" custLinFactNeighborY="-100000">
        <dgm:presLayoutVars>
          <dgm:chPref val="3"/>
        </dgm:presLayoutVars>
      </dgm:prSet>
      <dgm:spPr/>
      <dgm:t>
        <a:bodyPr/>
        <a:lstStyle/>
        <a:p>
          <a:endParaRPr lang="lv-LV"/>
        </a:p>
      </dgm:t>
    </dgm:pt>
    <dgm:pt modelId="{A7836BB1-EB21-423A-9072-69B135629072}" type="pres">
      <dgm:prSet presAssocID="{7556B193-DBD3-4389-922B-16D3E077B2A0}" presName="rootConnector" presStyleLbl="node3" presStyleIdx="0" presStyleCnt="7"/>
      <dgm:spPr/>
      <dgm:t>
        <a:bodyPr/>
        <a:lstStyle/>
        <a:p>
          <a:endParaRPr lang="lv-LV"/>
        </a:p>
      </dgm:t>
    </dgm:pt>
    <dgm:pt modelId="{C98035AC-2153-43AD-9AE1-261F2134D7AF}" type="pres">
      <dgm:prSet presAssocID="{7556B193-DBD3-4389-922B-16D3E077B2A0}" presName="hierChild4" presStyleCnt="0"/>
      <dgm:spPr/>
    </dgm:pt>
    <dgm:pt modelId="{79B7D824-1E61-4DB4-A522-1A4E51B1D3FA}" type="pres">
      <dgm:prSet presAssocID="{7556B193-DBD3-4389-922B-16D3E077B2A0}" presName="hierChild5" presStyleCnt="0"/>
      <dgm:spPr/>
    </dgm:pt>
    <dgm:pt modelId="{98427118-0D3B-4216-9720-41E41E352646}" type="pres">
      <dgm:prSet presAssocID="{50A0C4F2-3130-482E-9518-A837EB157B99}" presName="Name37" presStyleLbl="parChTrans1D3" presStyleIdx="1" presStyleCnt="7"/>
      <dgm:spPr/>
      <dgm:t>
        <a:bodyPr/>
        <a:lstStyle/>
        <a:p>
          <a:endParaRPr lang="lv-LV"/>
        </a:p>
      </dgm:t>
    </dgm:pt>
    <dgm:pt modelId="{BA795C98-8607-4777-A3AB-6D1E1C5EC2F9}" type="pres">
      <dgm:prSet presAssocID="{2325E6CC-7919-44E0-BB9A-53ABB90B72ED}" presName="hierRoot2" presStyleCnt="0">
        <dgm:presLayoutVars>
          <dgm:hierBranch val="init"/>
        </dgm:presLayoutVars>
      </dgm:prSet>
      <dgm:spPr/>
    </dgm:pt>
    <dgm:pt modelId="{35A74DC4-E926-41F4-9640-65F9947D6378}" type="pres">
      <dgm:prSet presAssocID="{2325E6CC-7919-44E0-BB9A-53ABB90B72ED}" presName="rootComposite" presStyleCnt="0"/>
      <dgm:spPr/>
    </dgm:pt>
    <dgm:pt modelId="{CCE66C66-B16A-4916-84FC-B72268AF55F8}" type="pres">
      <dgm:prSet presAssocID="{2325E6CC-7919-44E0-BB9A-53ABB90B72ED}" presName="rootText" presStyleLbl="node3" presStyleIdx="1" presStyleCnt="7" custLinFactY="-8871" custLinFactNeighborX="51628" custLinFactNeighborY="-100000">
        <dgm:presLayoutVars>
          <dgm:chPref val="3"/>
        </dgm:presLayoutVars>
      </dgm:prSet>
      <dgm:spPr/>
      <dgm:t>
        <a:bodyPr/>
        <a:lstStyle/>
        <a:p>
          <a:endParaRPr lang="lv-LV"/>
        </a:p>
      </dgm:t>
    </dgm:pt>
    <dgm:pt modelId="{FE0206E1-21C4-40AF-883E-B3CDBC74BDC8}" type="pres">
      <dgm:prSet presAssocID="{2325E6CC-7919-44E0-BB9A-53ABB90B72ED}" presName="rootConnector" presStyleLbl="node3" presStyleIdx="1" presStyleCnt="7"/>
      <dgm:spPr/>
      <dgm:t>
        <a:bodyPr/>
        <a:lstStyle/>
        <a:p>
          <a:endParaRPr lang="lv-LV"/>
        </a:p>
      </dgm:t>
    </dgm:pt>
    <dgm:pt modelId="{7862C03D-DA17-43CC-BA96-DB2856399163}" type="pres">
      <dgm:prSet presAssocID="{2325E6CC-7919-44E0-BB9A-53ABB90B72ED}" presName="hierChild4" presStyleCnt="0"/>
      <dgm:spPr/>
    </dgm:pt>
    <dgm:pt modelId="{2EAA54D0-286A-4763-ABB6-B9A0FD725744}" type="pres">
      <dgm:prSet presAssocID="{2325E6CC-7919-44E0-BB9A-53ABB90B72ED}" presName="hierChild5" presStyleCnt="0"/>
      <dgm:spPr/>
    </dgm:pt>
    <dgm:pt modelId="{A903EF89-30CB-4508-843C-327E1DC68F6F}" type="pres">
      <dgm:prSet presAssocID="{A37C9B23-3C98-4E40-9DF1-42B7512748ED}" presName="hierChild5" presStyleCnt="0"/>
      <dgm:spPr/>
    </dgm:pt>
    <dgm:pt modelId="{6F8D9886-16F6-40F7-AA94-6D479C084E19}" type="pres">
      <dgm:prSet presAssocID="{0B5C9BED-CE0D-4C98-8C21-23A705692B90}" presName="Name37" presStyleLbl="parChTrans1D2" presStyleIdx="1" presStyleCnt="7"/>
      <dgm:spPr/>
      <dgm:t>
        <a:bodyPr/>
        <a:lstStyle/>
        <a:p>
          <a:endParaRPr lang="lv-LV"/>
        </a:p>
      </dgm:t>
    </dgm:pt>
    <dgm:pt modelId="{8115A4D7-5029-421F-A9B9-D10D711B032A}" type="pres">
      <dgm:prSet presAssocID="{5948222B-CB95-4168-B4E5-92721613774E}" presName="hierRoot2" presStyleCnt="0">
        <dgm:presLayoutVars>
          <dgm:hierBranch val="init"/>
        </dgm:presLayoutVars>
      </dgm:prSet>
      <dgm:spPr/>
    </dgm:pt>
    <dgm:pt modelId="{CAC3FE4B-37EB-4480-927D-1E9B0A2FACF5}" type="pres">
      <dgm:prSet presAssocID="{5948222B-CB95-4168-B4E5-92721613774E}" presName="rootComposite" presStyleCnt="0"/>
      <dgm:spPr/>
    </dgm:pt>
    <dgm:pt modelId="{30650CEB-A118-49A7-A123-94A8C57FA2EC}" type="pres">
      <dgm:prSet presAssocID="{5948222B-CB95-4168-B4E5-92721613774E}" presName="rootText" presStyleLbl="node2" presStyleIdx="1" presStyleCnt="7" custLinFactY="-8871" custLinFactNeighborX="51628" custLinFactNeighborY="-100000">
        <dgm:presLayoutVars>
          <dgm:chPref val="3"/>
        </dgm:presLayoutVars>
      </dgm:prSet>
      <dgm:spPr/>
      <dgm:t>
        <a:bodyPr/>
        <a:lstStyle/>
        <a:p>
          <a:endParaRPr lang="lv-LV"/>
        </a:p>
      </dgm:t>
    </dgm:pt>
    <dgm:pt modelId="{DC43FF53-E388-4009-BC5B-415E31AA6739}" type="pres">
      <dgm:prSet presAssocID="{5948222B-CB95-4168-B4E5-92721613774E}" presName="rootConnector" presStyleLbl="node2" presStyleIdx="1" presStyleCnt="7"/>
      <dgm:spPr/>
      <dgm:t>
        <a:bodyPr/>
        <a:lstStyle/>
        <a:p>
          <a:endParaRPr lang="lv-LV"/>
        </a:p>
      </dgm:t>
    </dgm:pt>
    <dgm:pt modelId="{B5610D3A-EA02-41A8-9234-D1FB8AD8BC27}" type="pres">
      <dgm:prSet presAssocID="{5948222B-CB95-4168-B4E5-92721613774E}" presName="hierChild4" presStyleCnt="0"/>
      <dgm:spPr/>
    </dgm:pt>
    <dgm:pt modelId="{D5993E55-1160-4D57-961F-4A3DAD77E402}" type="pres">
      <dgm:prSet presAssocID="{9D3F9E35-F666-49CF-A992-C140184B3B1B}" presName="Name37" presStyleLbl="parChTrans1D3" presStyleIdx="2" presStyleCnt="7"/>
      <dgm:spPr/>
      <dgm:t>
        <a:bodyPr/>
        <a:lstStyle/>
        <a:p>
          <a:endParaRPr lang="lv-LV"/>
        </a:p>
      </dgm:t>
    </dgm:pt>
    <dgm:pt modelId="{96ABC105-CEC4-4479-8B6E-AF053791B126}" type="pres">
      <dgm:prSet presAssocID="{AFF8ABF9-6F4D-4EED-8517-5D10F0FC5F16}" presName="hierRoot2" presStyleCnt="0">
        <dgm:presLayoutVars>
          <dgm:hierBranch val="init"/>
        </dgm:presLayoutVars>
      </dgm:prSet>
      <dgm:spPr/>
    </dgm:pt>
    <dgm:pt modelId="{A486AB82-3ADA-4BCC-AB23-4F8674609B81}" type="pres">
      <dgm:prSet presAssocID="{AFF8ABF9-6F4D-4EED-8517-5D10F0FC5F16}" presName="rootComposite" presStyleCnt="0"/>
      <dgm:spPr/>
    </dgm:pt>
    <dgm:pt modelId="{91DD423E-D2DF-4A59-831F-AB0F0B81C01C}" type="pres">
      <dgm:prSet presAssocID="{AFF8ABF9-6F4D-4EED-8517-5D10F0FC5F16}" presName="rootText" presStyleLbl="node3" presStyleIdx="2" presStyleCnt="7" custLinFactY="-8871" custLinFactNeighborX="51628" custLinFactNeighborY="-100000">
        <dgm:presLayoutVars>
          <dgm:chPref val="3"/>
        </dgm:presLayoutVars>
      </dgm:prSet>
      <dgm:spPr/>
      <dgm:t>
        <a:bodyPr/>
        <a:lstStyle/>
        <a:p>
          <a:endParaRPr lang="lv-LV"/>
        </a:p>
      </dgm:t>
    </dgm:pt>
    <dgm:pt modelId="{6141AA72-B748-4EFD-A5AD-81D9D008FBBC}" type="pres">
      <dgm:prSet presAssocID="{AFF8ABF9-6F4D-4EED-8517-5D10F0FC5F16}" presName="rootConnector" presStyleLbl="node3" presStyleIdx="2" presStyleCnt="7"/>
      <dgm:spPr/>
      <dgm:t>
        <a:bodyPr/>
        <a:lstStyle/>
        <a:p>
          <a:endParaRPr lang="lv-LV"/>
        </a:p>
      </dgm:t>
    </dgm:pt>
    <dgm:pt modelId="{CAFD1657-2067-42C9-89BC-57B1DA2E37C7}" type="pres">
      <dgm:prSet presAssocID="{AFF8ABF9-6F4D-4EED-8517-5D10F0FC5F16}" presName="hierChild4" presStyleCnt="0"/>
      <dgm:spPr/>
    </dgm:pt>
    <dgm:pt modelId="{32A4640E-51E8-493E-B954-2A05E2EE23A1}" type="pres">
      <dgm:prSet presAssocID="{AFF8ABF9-6F4D-4EED-8517-5D10F0FC5F16}" presName="hierChild5" presStyleCnt="0"/>
      <dgm:spPr/>
    </dgm:pt>
    <dgm:pt modelId="{F2E1290A-8F51-421B-9A1F-08A1922D09CE}" type="pres">
      <dgm:prSet presAssocID="{C50B46D1-08B9-4078-8C89-8AC4174C53AD}" presName="Name37" presStyleLbl="parChTrans1D3" presStyleIdx="3" presStyleCnt="7"/>
      <dgm:spPr/>
      <dgm:t>
        <a:bodyPr/>
        <a:lstStyle/>
        <a:p>
          <a:endParaRPr lang="lv-LV"/>
        </a:p>
      </dgm:t>
    </dgm:pt>
    <dgm:pt modelId="{C0CC67D3-6C9A-44FD-BF7E-4B660EB724DB}" type="pres">
      <dgm:prSet presAssocID="{68E684FC-7C9E-4F1C-97B9-F68E1C3EF22F}" presName="hierRoot2" presStyleCnt="0">
        <dgm:presLayoutVars>
          <dgm:hierBranch val="init"/>
        </dgm:presLayoutVars>
      </dgm:prSet>
      <dgm:spPr/>
    </dgm:pt>
    <dgm:pt modelId="{A6B69BDC-7C20-4AB6-82E7-24E2074897B6}" type="pres">
      <dgm:prSet presAssocID="{68E684FC-7C9E-4F1C-97B9-F68E1C3EF22F}" presName="rootComposite" presStyleCnt="0"/>
      <dgm:spPr/>
    </dgm:pt>
    <dgm:pt modelId="{35406666-01EC-4EB1-9818-BABF47FE4ACA}" type="pres">
      <dgm:prSet presAssocID="{68E684FC-7C9E-4F1C-97B9-F68E1C3EF22F}" presName="rootText" presStyleLbl="node3" presStyleIdx="3" presStyleCnt="7" custLinFactY="-8871" custLinFactNeighborX="51628" custLinFactNeighborY="-100000">
        <dgm:presLayoutVars>
          <dgm:chPref val="3"/>
        </dgm:presLayoutVars>
      </dgm:prSet>
      <dgm:spPr/>
      <dgm:t>
        <a:bodyPr/>
        <a:lstStyle/>
        <a:p>
          <a:endParaRPr lang="lv-LV"/>
        </a:p>
      </dgm:t>
    </dgm:pt>
    <dgm:pt modelId="{28DEA70B-5F9E-4247-897C-134D4F4C8A21}" type="pres">
      <dgm:prSet presAssocID="{68E684FC-7C9E-4F1C-97B9-F68E1C3EF22F}" presName="rootConnector" presStyleLbl="node3" presStyleIdx="3" presStyleCnt="7"/>
      <dgm:spPr/>
      <dgm:t>
        <a:bodyPr/>
        <a:lstStyle/>
        <a:p>
          <a:endParaRPr lang="lv-LV"/>
        </a:p>
      </dgm:t>
    </dgm:pt>
    <dgm:pt modelId="{97FAC06E-B3AC-4C28-AE24-256D2934841F}" type="pres">
      <dgm:prSet presAssocID="{68E684FC-7C9E-4F1C-97B9-F68E1C3EF22F}" presName="hierChild4" presStyleCnt="0"/>
      <dgm:spPr/>
    </dgm:pt>
    <dgm:pt modelId="{0D1A8934-F4A1-49B6-9D71-79D79853FAEE}" type="pres">
      <dgm:prSet presAssocID="{68E684FC-7C9E-4F1C-97B9-F68E1C3EF22F}" presName="hierChild5" presStyleCnt="0"/>
      <dgm:spPr/>
    </dgm:pt>
    <dgm:pt modelId="{0647EEC5-41C2-462B-B58F-04A4D6ADF2AB}" type="pres">
      <dgm:prSet presAssocID="{6E2B1509-E9CA-4B72-A783-DF840DAEB74A}" presName="Name37" presStyleLbl="parChTrans1D3" presStyleIdx="4" presStyleCnt="7"/>
      <dgm:spPr/>
      <dgm:t>
        <a:bodyPr/>
        <a:lstStyle/>
        <a:p>
          <a:endParaRPr lang="lv-LV"/>
        </a:p>
      </dgm:t>
    </dgm:pt>
    <dgm:pt modelId="{CC853026-27F7-4835-AF36-1B6EEAC48B5D}" type="pres">
      <dgm:prSet presAssocID="{F8A5F563-F060-4F73-A109-D0AA9916313B}" presName="hierRoot2" presStyleCnt="0">
        <dgm:presLayoutVars>
          <dgm:hierBranch val="init"/>
        </dgm:presLayoutVars>
      </dgm:prSet>
      <dgm:spPr/>
    </dgm:pt>
    <dgm:pt modelId="{F796F82C-841D-4DAD-B636-AF7F25631DA3}" type="pres">
      <dgm:prSet presAssocID="{F8A5F563-F060-4F73-A109-D0AA9916313B}" presName="rootComposite" presStyleCnt="0"/>
      <dgm:spPr/>
    </dgm:pt>
    <dgm:pt modelId="{9EA90A1C-D3D2-482E-9D7A-E272F0535AA6}" type="pres">
      <dgm:prSet presAssocID="{F8A5F563-F060-4F73-A109-D0AA9916313B}" presName="rootText" presStyleLbl="node3" presStyleIdx="4" presStyleCnt="7" custLinFactY="-8871" custLinFactNeighborX="51628" custLinFactNeighborY="-100000">
        <dgm:presLayoutVars>
          <dgm:chPref val="3"/>
        </dgm:presLayoutVars>
      </dgm:prSet>
      <dgm:spPr/>
      <dgm:t>
        <a:bodyPr/>
        <a:lstStyle/>
        <a:p>
          <a:endParaRPr lang="lv-LV"/>
        </a:p>
      </dgm:t>
    </dgm:pt>
    <dgm:pt modelId="{855B89CD-6527-4F0B-80BF-423AFFAC6067}" type="pres">
      <dgm:prSet presAssocID="{F8A5F563-F060-4F73-A109-D0AA9916313B}" presName="rootConnector" presStyleLbl="node3" presStyleIdx="4" presStyleCnt="7"/>
      <dgm:spPr/>
      <dgm:t>
        <a:bodyPr/>
        <a:lstStyle/>
        <a:p>
          <a:endParaRPr lang="lv-LV"/>
        </a:p>
      </dgm:t>
    </dgm:pt>
    <dgm:pt modelId="{0C8F4BBE-572C-4009-924F-6F35EAF79D45}" type="pres">
      <dgm:prSet presAssocID="{F8A5F563-F060-4F73-A109-D0AA9916313B}" presName="hierChild4" presStyleCnt="0"/>
      <dgm:spPr/>
    </dgm:pt>
    <dgm:pt modelId="{C0B82921-80C5-409A-9DE8-5EC23E08EF57}" type="pres">
      <dgm:prSet presAssocID="{F8A5F563-F060-4F73-A109-D0AA9916313B}" presName="hierChild5" presStyleCnt="0"/>
      <dgm:spPr/>
    </dgm:pt>
    <dgm:pt modelId="{4233338B-0C57-4A12-B28D-374E4C07BA14}" type="pres">
      <dgm:prSet presAssocID="{5948222B-CB95-4168-B4E5-92721613774E}" presName="hierChild5" presStyleCnt="0"/>
      <dgm:spPr/>
    </dgm:pt>
    <dgm:pt modelId="{FB41F750-EB73-4D97-80FE-931BCBB45552}" type="pres">
      <dgm:prSet presAssocID="{91E05349-058F-4021-B64C-0650F6301834}" presName="Name37" presStyleLbl="parChTrans1D2" presStyleIdx="2" presStyleCnt="7"/>
      <dgm:spPr/>
      <dgm:t>
        <a:bodyPr/>
        <a:lstStyle/>
        <a:p>
          <a:endParaRPr lang="lv-LV"/>
        </a:p>
      </dgm:t>
    </dgm:pt>
    <dgm:pt modelId="{1E954B7A-84CD-4BFA-B759-7A854A989A17}" type="pres">
      <dgm:prSet presAssocID="{5A31DF60-F7A4-4397-9106-1BC638A7A2DC}" presName="hierRoot2" presStyleCnt="0">
        <dgm:presLayoutVars>
          <dgm:hierBranch val="init"/>
        </dgm:presLayoutVars>
      </dgm:prSet>
      <dgm:spPr/>
    </dgm:pt>
    <dgm:pt modelId="{623C67ED-41AF-442A-9B22-4E985B7E4BED}" type="pres">
      <dgm:prSet presAssocID="{5A31DF60-F7A4-4397-9106-1BC638A7A2DC}" presName="rootComposite" presStyleCnt="0"/>
      <dgm:spPr/>
    </dgm:pt>
    <dgm:pt modelId="{7F51D661-B8B2-46FC-A9BF-11643DD68FB0}" type="pres">
      <dgm:prSet presAssocID="{5A31DF60-F7A4-4397-9106-1BC638A7A2DC}" presName="rootText" presStyleLbl="node2" presStyleIdx="2" presStyleCnt="7" custLinFactY="-8871" custLinFactNeighborX="51628" custLinFactNeighborY="-100000">
        <dgm:presLayoutVars>
          <dgm:chPref val="3"/>
        </dgm:presLayoutVars>
      </dgm:prSet>
      <dgm:spPr/>
      <dgm:t>
        <a:bodyPr/>
        <a:lstStyle/>
        <a:p>
          <a:endParaRPr lang="lv-LV"/>
        </a:p>
      </dgm:t>
    </dgm:pt>
    <dgm:pt modelId="{5CFC2208-6668-4FA4-BAAD-980E35827406}" type="pres">
      <dgm:prSet presAssocID="{5A31DF60-F7A4-4397-9106-1BC638A7A2DC}" presName="rootConnector" presStyleLbl="node2" presStyleIdx="2" presStyleCnt="7"/>
      <dgm:spPr/>
      <dgm:t>
        <a:bodyPr/>
        <a:lstStyle/>
        <a:p>
          <a:endParaRPr lang="lv-LV"/>
        </a:p>
      </dgm:t>
    </dgm:pt>
    <dgm:pt modelId="{D1C8BD62-CC48-4E11-97C7-B5C426070A88}" type="pres">
      <dgm:prSet presAssocID="{5A31DF60-F7A4-4397-9106-1BC638A7A2DC}" presName="hierChild4" presStyleCnt="0"/>
      <dgm:spPr/>
    </dgm:pt>
    <dgm:pt modelId="{B5F4FCDC-8977-4D39-B88E-AE67FA2D4EF8}" type="pres">
      <dgm:prSet presAssocID="{F0468EB0-D505-47C7-86A2-6A9D3AA1FF87}" presName="Name37" presStyleLbl="parChTrans1D3" presStyleIdx="5" presStyleCnt="7"/>
      <dgm:spPr/>
      <dgm:t>
        <a:bodyPr/>
        <a:lstStyle/>
        <a:p>
          <a:endParaRPr lang="lv-LV"/>
        </a:p>
      </dgm:t>
    </dgm:pt>
    <dgm:pt modelId="{4765FF4E-BC49-4A60-80D6-C7A9B1481BE7}" type="pres">
      <dgm:prSet presAssocID="{945FBBA2-FDCE-4B86-91DB-16DBA15EB0EC}" presName="hierRoot2" presStyleCnt="0">
        <dgm:presLayoutVars>
          <dgm:hierBranch val="init"/>
        </dgm:presLayoutVars>
      </dgm:prSet>
      <dgm:spPr/>
    </dgm:pt>
    <dgm:pt modelId="{229096F4-E9FB-4F70-A6FE-F62D8FBA7D29}" type="pres">
      <dgm:prSet presAssocID="{945FBBA2-FDCE-4B86-91DB-16DBA15EB0EC}" presName="rootComposite" presStyleCnt="0"/>
      <dgm:spPr/>
    </dgm:pt>
    <dgm:pt modelId="{B98357B7-64C1-4654-ACA3-4C89B569E685}" type="pres">
      <dgm:prSet presAssocID="{945FBBA2-FDCE-4B86-91DB-16DBA15EB0EC}" presName="rootText" presStyleLbl="node3" presStyleIdx="5" presStyleCnt="7" custLinFactY="-8871" custLinFactNeighborX="51628" custLinFactNeighborY="-100000">
        <dgm:presLayoutVars>
          <dgm:chPref val="3"/>
        </dgm:presLayoutVars>
      </dgm:prSet>
      <dgm:spPr/>
      <dgm:t>
        <a:bodyPr/>
        <a:lstStyle/>
        <a:p>
          <a:endParaRPr lang="lv-LV"/>
        </a:p>
      </dgm:t>
    </dgm:pt>
    <dgm:pt modelId="{66168712-B088-4E91-A614-F6702EF169A3}" type="pres">
      <dgm:prSet presAssocID="{945FBBA2-FDCE-4B86-91DB-16DBA15EB0EC}" presName="rootConnector" presStyleLbl="node3" presStyleIdx="5" presStyleCnt="7"/>
      <dgm:spPr/>
      <dgm:t>
        <a:bodyPr/>
        <a:lstStyle/>
        <a:p>
          <a:endParaRPr lang="lv-LV"/>
        </a:p>
      </dgm:t>
    </dgm:pt>
    <dgm:pt modelId="{0D4735E1-B42A-4AFE-A8F6-B04DB87D676E}" type="pres">
      <dgm:prSet presAssocID="{945FBBA2-FDCE-4B86-91DB-16DBA15EB0EC}" presName="hierChild4" presStyleCnt="0"/>
      <dgm:spPr/>
    </dgm:pt>
    <dgm:pt modelId="{6CE250AC-51B5-47BA-844C-488468DD2949}" type="pres">
      <dgm:prSet presAssocID="{945FBBA2-FDCE-4B86-91DB-16DBA15EB0EC}" presName="hierChild5" presStyleCnt="0"/>
      <dgm:spPr/>
    </dgm:pt>
    <dgm:pt modelId="{536FA189-27F2-47BC-A238-A6CD1C5C56D3}" type="pres">
      <dgm:prSet presAssocID="{56EBA336-7653-4221-B89B-10E2FDDC1749}" presName="Name37" presStyleLbl="parChTrans1D3" presStyleIdx="6" presStyleCnt="7"/>
      <dgm:spPr/>
      <dgm:t>
        <a:bodyPr/>
        <a:lstStyle/>
        <a:p>
          <a:endParaRPr lang="lv-LV"/>
        </a:p>
      </dgm:t>
    </dgm:pt>
    <dgm:pt modelId="{246DF7FE-560E-48BB-994F-EC7B1462F783}" type="pres">
      <dgm:prSet presAssocID="{4C99BD34-F543-449E-841B-254E9571B6EA}" presName="hierRoot2" presStyleCnt="0">
        <dgm:presLayoutVars>
          <dgm:hierBranch val="init"/>
        </dgm:presLayoutVars>
      </dgm:prSet>
      <dgm:spPr/>
    </dgm:pt>
    <dgm:pt modelId="{A3AE1C26-0F82-4CCE-8A9B-249AD5D822E6}" type="pres">
      <dgm:prSet presAssocID="{4C99BD34-F543-449E-841B-254E9571B6EA}" presName="rootComposite" presStyleCnt="0"/>
      <dgm:spPr/>
    </dgm:pt>
    <dgm:pt modelId="{44F81E7A-9FB2-4396-B431-979DDC5AF633}" type="pres">
      <dgm:prSet presAssocID="{4C99BD34-F543-449E-841B-254E9571B6EA}" presName="rootText" presStyleLbl="node3" presStyleIdx="6" presStyleCnt="7" custLinFactY="-8871" custLinFactNeighborX="51628" custLinFactNeighborY="-100000">
        <dgm:presLayoutVars>
          <dgm:chPref val="3"/>
        </dgm:presLayoutVars>
      </dgm:prSet>
      <dgm:spPr/>
      <dgm:t>
        <a:bodyPr/>
        <a:lstStyle/>
        <a:p>
          <a:endParaRPr lang="lv-LV"/>
        </a:p>
      </dgm:t>
    </dgm:pt>
    <dgm:pt modelId="{590DEF46-3D3F-46B2-A10F-42EC166C4720}" type="pres">
      <dgm:prSet presAssocID="{4C99BD34-F543-449E-841B-254E9571B6EA}" presName="rootConnector" presStyleLbl="node3" presStyleIdx="6" presStyleCnt="7"/>
      <dgm:spPr/>
      <dgm:t>
        <a:bodyPr/>
        <a:lstStyle/>
        <a:p>
          <a:endParaRPr lang="lv-LV"/>
        </a:p>
      </dgm:t>
    </dgm:pt>
    <dgm:pt modelId="{75A574EE-0135-4482-9EB7-61E0C62AE434}" type="pres">
      <dgm:prSet presAssocID="{4C99BD34-F543-449E-841B-254E9571B6EA}" presName="hierChild4" presStyleCnt="0"/>
      <dgm:spPr/>
    </dgm:pt>
    <dgm:pt modelId="{1BD57694-FC70-4F75-83BD-03B8360D6EF8}" type="pres">
      <dgm:prSet presAssocID="{4C99BD34-F543-449E-841B-254E9571B6EA}" presName="hierChild5" presStyleCnt="0"/>
      <dgm:spPr/>
    </dgm:pt>
    <dgm:pt modelId="{230D52F1-7FE7-4FF0-B9E8-D8E20210347F}" type="pres">
      <dgm:prSet presAssocID="{5A31DF60-F7A4-4397-9106-1BC638A7A2DC}" presName="hierChild5" presStyleCnt="0"/>
      <dgm:spPr/>
    </dgm:pt>
    <dgm:pt modelId="{2E5007B0-5046-4A70-B22B-18F96EB77701}" type="pres">
      <dgm:prSet presAssocID="{873318E3-A3F3-4BD1-85CC-6031358691D4}" presName="Name37" presStyleLbl="parChTrans1D2" presStyleIdx="3" presStyleCnt="7"/>
      <dgm:spPr/>
      <dgm:t>
        <a:bodyPr/>
        <a:lstStyle/>
        <a:p>
          <a:endParaRPr lang="lv-LV"/>
        </a:p>
      </dgm:t>
    </dgm:pt>
    <dgm:pt modelId="{32F73749-6EDC-4614-AE29-B30BCDAA40F0}" type="pres">
      <dgm:prSet presAssocID="{06D31213-06A2-4F0D-8ADC-E43CB0E8AC24}" presName="hierRoot2" presStyleCnt="0">
        <dgm:presLayoutVars>
          <dgm:hierBranch val="init"/>
        </dgm:presLayoutVars>
      </dgm:prSet>
      <dgm:spPr/>
    </dgm:pt>
    <dgm:pt modelId="{67819F15-F41D-4C6F-9E47-3D303C014E38}" type="pres">
      <dgm:prSet presAssocID="{06D31213-06A2-4F0D-8ADC-E43CB0E8AC24}" presName="rootComposite" presStyleCnt="0"/>
      <dgm:spPr/>
    </dgm:pt>
    <dgm:pt modelId="{F349691F-9834-47D8-A870-2749D1E77037}" type="pres">
      <dgm:prSet presAssocID="{06D31213-06A2-4F0D-8ADC-E43CB0E8AC24}" presName="rootText" presStyleLbl="node2" presStyleIdx="3" presStyleCnt="7" custLinFactX="46165" custLinFactY="-10714" custLinFactNeighborX="100000" custLinFactNeighborY="-100000">
        <dgm:presLayoutVars>
          <dgm:chPref val="3"/>
        </dgm:presLayoutVars>
      </dgm:prSet>
      <dgm:spPr/>
      <dgm:t>
        <a:bodyPr/>
        <a:lstStyle/>
        <a:p>
          <a:endParaRPr lang="lv-LV"/>
        </a:p>
      </dgm:t>
    </dgm:pt>
    <dgm:pt modelId="{3CF5CEFB-100C-4BDD-B86D-6F11345154B5}" type="pres">
      <dgm:prSet presAssocID="{06D31213-06A2-4F0D-8ADC-E43CB0E8AC24}" presName="rootConnector" presStyleLbl="node2" presStyleIdx="3" presStyleCnt="7"/>
      <dgm:spPr/>
      <dgm:t>
        <a:bodyPr/>
        <a:lstStyle/>
        <a:p>
          <a:endParaRPr lang="lv-LV"/>
        </a:p>
      </dgm:t>
    </dgm:pt>
    <dgm:pt modelId="{C52374D3-FA25-4727-B46B-2960EA833D6D}" type="pres">
      <dgm:prSet presAssocID="{06D31213-06A2-4F0D-8ADC-E43CB0E8AC24}" presName="hierChild4" presStyleCnt="0"/>
      <dgm:spPr/>
    </dgm:pt>
    <dgm:pt modelId="{2DA578BC-F99E-4A7B-8B27-1AD8CBA95762}" type="pres">
      <dgm:prSet presAssocID="{06D31213-06A2-4F0D-8ADC-E43CB0E8AC24}" presName="hierChild5" presStyleCnt="0"/>
      <dgm:spPr/>
    </dgm:pt>
    <dgm:pt modelId="{5EED6CCF-5784-4C88-83DD-1FECF5709EA4}" type="pres">
      <dgm:prSet presAssocID="{B0A13297-E3E0-4013-84B0-82CA9C7CB62C}" presName="Name37" presStyleLbl="parChTrans1D2" presStyleIdx="4" presStyleCnt="7"/>
      <dgm:spPr/>
      <dgm:t>
        <a:bodyPr/>
        <a:lstStyle/>
        <a:p>
          <a:endParaRPr lang="lv-LV"/>
        </a:p>
      </dgm:t>
    </dgm:pt>
    <dgm:pt modelId="{A3470253-CE90-4021-A6FD-E3D8A7FCF9D0}" type="pres">
      <dgm:prSet presAssocID="{935008D3-267C-4062-A6E5-8967C7C3B6AD}" presName="hierRoot2" presStyleCnt="0">
        <dgm:presLayoutVars>
          <dgm:hierBranch val="init"/>
        </dgm:presLayoutVars>
      </dgm:prSet>
      <dgm:spPr/>
    </dgm:pt>
    <dgm:pt modelId="{262B8CB3-84DF-49FD-B2BE-6B33D6FAB6DE}" type="pres">
      <dgm:prSet presAssocID="{935008D3-267C-4062-A6E5-8967C7C3B6AD}" presName="rootComposite" presStyleCnt="0"/>
      <dgm:spPr/>
    </dgm:pt>
    <dgm:pt modelId="{1B76F383-B7B4-4701-8BCF-7462FB7DC8BE}" type="pres">
      <dgm:prSet presAssocID="{935008D3-267C-4062-A6E5-8967C7C3B6AD}" presName="rootText" presStyleLbl="node2" presStyleIdx="4" presStyleCnt="7" custLinFactNeighborX="22959" custLinFactNeighborY="32647">
        <dgm:presLayoutVars>
          <dgm:chPref val="3"/>
        </dgm:presLayoutVars>
      </dgm:prSet>
      <dgm:spPr/>
      <dgm:t>
        <a:bodyPr/>
        <a:lstStyle/>
        <a:p>
          <a:endParaRPr lang="lv-LV"/>
        </a:p>
      </dgm:t>
    </dgm:pt>
    <dgm:pt modelId="{2CC780BB-BF1F-41AD-842A-8E260D69C430}" type="pres">
      <dgm:prSet presAssocID="{935008D3-267C-4062-A6E5-8967C7C3B6AD}" presName="rootConnector" presStyleLbl="node2" presStyleIdx="4" presStyleCnt="7"/>
      <dgm:spPr/>
      <dgm:t>
        <a:bodyPr/>
        <a:lstStyle/>
        <a:p>
          <a:endParaRPr lang="lv-LV"/>
        </a:p>
      </dgm:t>
    </dgm:pt>
    <dgm:pt modelId="{38FE5CBC-7DEA-4EA3-A352-47891EA8A422}" type="pres">
      <dgm:prSet presAssocID="{935008D3-267C-4062-A6E5-8967C7C3B6AD}" presName="hierChild4" presStyleCnt="0"/>
      <dgm:spPr/>
    </dgm:pt>
    <dgm:pt modelId="{2BC1D3D2-48D0-44FB-A612-6ABDB36EE8E3}" type="pres">
      <dgm:prSet presAssocID="{935008D3-267C-4062-A6E5-8967C7C3B6AD}" presName="hierChild5" presStyleCnt="0"/>
      <dgm:spPr/>
    </dgm:pt>
    <dgm:pt modelId="{57FBC521-FD4A-4EDB-B4DC-1D1B3ABF4763}" type="pres">
      <dgm:prSet presAssocID="{533736F9-0B57-40E2-9B6D-8D099AD9D1A8}" presName="Name37" presStyleLbl="parChTrans1D2" presStyleIdx="5" presStyleCnt="7"/>
      <dgm:spPr/>
      <dgm:t>
        <a:bodyPr/>
        <a:lstStyle/>
        <a:p>
          <a:endParaRPr lang="lv-LV"/>
        </a:p>
      </dgm:t>
    </dgm:pt>
    <dgm:pt modelId="{4304B289-EDC1-4F2F-9193-647CBA70451C}" type="pres">
      <dgm:prSet presAssocID="{90B41005-B98B-45EA-A5FF-A1A17F150BEA}" presName="hierRoot2" presStyleCnt="0">
        <dgm:presLayoutVars>
          <dgm:hierBranch val="init"/>
        </dgm:presLayoutVars>
      </dgm:prSet>
      <dgm:spPr/>
    </dgm:pt>
    <dgm:pt modelId="{706AF3D0-3D1E-46AE-BD08-91158917F9F3}" type="pres">
      <dgm:prSet presAssocID="{90B41005-B98B-45EA-A5FF-A1A17F150BEA}" presName="rootComposite" presStyleCnt="0"/>
      <dgm:spPr/>
    </dgm:pt>
    <dgm:pt modelId="{4B7CA603-BFA2-4F5C-A47D-5B60F3E428BB}" type="pres">
      <dgm:prSet presAssocID="{90B41005-B98B-45EA-A5FF-A1A17F150BEA}" presName="rootText" presStyleLbl="node2" presStyleIdx="5" presStyleCnt="7" custLinFactY="68185" custLinFactNeighborX="-97407" custLinFactNeighborY="100000">
        <dgm:presLayoutVars>
          <dgm:chPref val="3"/>
        </dgm:presLayoutVars>
      </dgm:prSet>
      <dgm:spPr/>
      <dgm:t>
        <a:bodyPr/>
        <a:lstStyle/>
        <a:p>
          <a:endParaRPr lang="lv-LV"/>
        </a:p>
      </dgm:t>
    </dgm:pt>
    <dgm:pt modelId="{7954F406-485A-4EB6-93FF-F0F6ABE009DD}" type="pres">
      <dgm:prSet presAssocID="{90B41005-B98B-45EA-A5FF-A1A17F150BEA}" presName="rootConnector" presStyleLbl="node2" presStyleIdx="5" presStyleCnt="7"/>
      <dgm:spPr/>
      <dgm:t>
        <a:bodyPr/>
        <a:lstStyle/>
        <a:p>
          <a:endParaRPr lang="lv-LV"/>
        </a:p>
      </dgm:t>
    </dgm:pt>
    <dgm:pt modelId="{2FE8F2C1-A8BC-4AF4-A587-717422E1AE7D}" type="pres">
      <dgm:prSet presAssocID="{90B41005-B98B-45EA-A5FF-A1A17F150BEA}" presName="hierChild4" presStyleCnt="0"/>
      <dgm:spPr/>
    </dgm:pt>
    <dgm:pt modelId="{D65693B4-0B7D-4667-AC8E-C0EB5282E0D8}" type="pres">
      <dgm:prSet presAssocID="{90B41005-B98B-45EA-A5FF-A1A17F150BEA}" presName="hierChild5" presStyleCnt="0"/>
      <dgm:spPr/>
    </dgm:pt>
    <dgm:pt modelId="{C8FCFB90-142F-4553-BD47-97614D09E557}" type="pres">
      <dgm:prSet presAssocID="{73447D19-73F0-4ACF-8727-7AEB8839C2DA}" presName="Name37" presStyleLbl="parChTrans1D2" presStyleIdx="6" presStyleCnt="7"/>
      <dgm:spPr/>
      <dgm:t>
        <a:bodyPr/>
        <a:lstStyle/>
        <a:p>
          <a:endParaRPr lang="lv-LV"/>
        </a:p>
      </dgm:t>
    </dgm:pt>
    <dgm:pt modelId="{2983EAC5-3DF7-48A9-B049-AB5B45EADA71}" type="pres">
      <dgm:prSet presAssocID="{EC0D339E-CF5F-4483-8035-3BBADE1D81CD}" presName="hierRoot2" presStyleCnt="0">
        <dgm:presLayoutVars>
          <dgm:hierBranch val="init"/>
        </dgm:presLayoutVars>
      </dgm:prSet>
      <dgm:spPr/>
    </dgm:pt>
    <dgm:pt modelId="{D4B8D1C2-3702-4C5E-91DF-ED7748D4107E}" type="pres">
      <dgm:prSet presAssocID="{EC0D339E-CF5F-4483-8035-3BBADE1D81CD}" presName="rootComposite" presStyleCnt="0"/>
      <dgm:spPr/>
    </dgm:pt>
    <dgm:pt modelId="{600EB0A5-A472-41AD-A7B3-09B8EE2C11F6}" type="pres">
      <dgm:prSet presAssocID="{EC0D339E-CF5F-4483-8035-3BBADE1D81CD}" presName="rootText" presStyleLbl="node2" presStyleIdx="6" presStyleCnt="7" custLinFactX="-100000" custLinFactY="116828" custLinFactNeighborX="-119481" custLinFactNeighborY="200000">
        <dgm:presLayoutVars>
          <dgm:chPref val="3"/>
        </dgm:presLayoutVars>
      </dgm:prSet>
      <dgm:spPr/>
      <dgm:t>
        <a:bodyPr/>
        <a:lstStyle/>
        <a:p>
          <a:endParaRPr lang="lv-LV"/>
        </a:p>
      </dgm:t>
    </dgm:pt>
    <dgm:pt modelId="{191F4CB2-D324-4D2A-8A8B-45F0D300E771}" type="pres">
      <dgm:prSet presAssocID="{EC0D339E-CF5F-4483-8035-3BBADE1D81CD}" presName="rootConnector" presStyleLbl="node2" presStyleIdx="6" presStyleCnt="7"/>
      <dgm:spPr/>
      <dgm:t>
        <a:bodyPr/>
        <a:lstStyle/>
        <a:p>
          <a:endParaRPr lang="lv-LV"/>
        </a:p>
      </dgm:t>
    </dgm:pt>
    <dgm:pt modelId="{5B1A5F2F-A27E-49CA-AF83-5488FB685858}" type="pres">
      <dgm:prSet presAssocID="{EC0D339E-CF5F-4483-8035-3BBADE1D81CD}" presName="hierChild4" presStyleCnt="0"/>
      <dgm:spPr/>
    </dgm:pt>
    <dgm:pt modelId="{304B1EC1-EC77-437E-B065-74DE07624D00}" type="pres">
      <dgm:prSet presAssocID="{EC0D339E-CF5F-4483-8035-3BBADE1D81CD}" presName="hierChild5" presStyleCnt="0"/>
      <dgm:spPr/>
    </dgm:pt>
    <dgm:pt modelId="{2E08DBA3-1E55-4658-9F97-7DD3187C553C}" type="pres">
      <dgm:prSet presAssocID="{3C173D0C-6643-4A9E-951F-2768625A96C8}" presName="hierChild3" presStyleCnt="0"/>
      <dgm:spPr/>
    </dgm:pt>
  </dgm:ptLst>
  <dgm:cxnLst>
    <dgm:cxn modelId="{4575A75D-5072-4CE1-8212-9D2AF3761229}" srcId="{5A31DF60-F7A4-4397-9106-1BC638A7A2DC}" destId="{4C99BD34-F543-449E-841B-254E9571B6EA}" srcOrd="1" destOrd="0" parTransId="{56EBA336-7653-4221-B89B-10E2FDDC1749}" sibTransId="{BBAB1E52-8C27-44E6-AAB9-1199BC69EE7F}"/>
    <dgm:cxn modelId="{D3663DA0-4E23-401B-94F3-933B62873D27}" type="presOf" srcId="{68E684FC-7C9E-4F1C-97B9-F68E1C3EF22F}" destId="{35406666-01EC-4EB1-9818-BABF47FE4ACA}" srcOrd="0" destOrd="0" presId="urn:microsoft.com/office/officeart/2005/8/layout/orgChart1"/>
    <dgm:cxn modelId="{B5C7E06C-605A-4491-8384-0D50A9711A5B}" srcId="{5948222B-CB95-4168-B4E5-92721613774E}" destId="{F8A5F563-F060-4F73-A109-D0AA9916313B}" srcOrd="2" destOrd="0" parTransId="{6E2B1509-E9CA-4B72-A783-DF840DAEB74A}" sibTransId="{6A381B70-A6FD-4C38-9EE4-96D3821B19E7}"/>
    <dgm:cxn modelId="{9A019909-4013-4EF2-B31D-E46D59ABAD5A}" type="presOf" srcId="{91E05349-058F-4021-B64C-0650F6301834}" destId="{FB41F750-EB73-4D97-80FE-931BCBB45552}" srcOrd="0" destOrd="0" presId="urn:microsoft.com/office/officeart/2005/8/layout/orgChart1"/>
    <dgm:cxn modelId="{FF83067E-E1FA-4AE2-A996-38E70560B07E}" type="presOf" srcId="{4C919E9F-7F91-4F2A-B22F-998BD105E78B}" destId="{0657BD6A-2EBD-4038-96CA-C7DFEE103BB6}" srcOrd="0" destOrd="0" presId="urn:microsoft.com/office/officeart/2005/8/layout/orgChart1"/>
    <dgm:cxn modelId="{B383635F-82AA-497C-8FCF-81A8E3780573}" type="presOf" srcId="{7556B193-DBD3-4389-922B-16D3E077B2A0}" destId="{DCE56066-85B6-41F2-BA2E-42038C7C8085}" srcOrd="0" destOrd="0" presId="urn:microsoft.com/office/officeart/2005/8/layout/orgChart1"/>
    <dgm:cxn modelId="{EDB9F8BE-B03F-406A-80EE-A95AABFC1A3B}" srcId="{3C173D0C-6643-4A9E-951F-2768625A96C8}" destId="{935008D3-267C-4062-A6E5-8967C7C3B6AD}" srcOrd="4" destOrd="0" parTransId="{B0A13297-E3E0-4013-84B0-82CA9C7CB62C}" sibTransId="{60FFCF09-8C06-4C5F-B7C1-FC30D5E68572}"/>
    <dgm:cxn modelId="{5ED914FB-14B0-41AC-A53A-6AF3089DB499}" type="presOf" srcId="{945FBBA2-FDCE-4B86-91DB-16DBA15EB0EC}" destId="{B98357B7-64C1-4654-ACA3-4C89B569E685}" srcOrd="0" destOrd="0" presId="urn:microsoft.com/office/officeart/2005/8/layout/orgChart1"/>
    <dgm:cxn modelId="{64D99523-5DBE-4D5E-91E1-91378012643D}" type="presOf" srcId="{A37C9B23-3C98-4E40-9DF1-42B7512748ED}" destId="{F64565BC-95D3-4F0D-A921-C96B506AC33D}" srcOrd="0" destOrd="0" presId="urn:microsoft.com/office/officeart/2005/8/layout/orgChart1"/>
    <dgm:cxn modelId="{FC6B6619-EFB8-4617-AA86-E0B450B9C9BA}" type="presOf" srcId="{5948222B-CB95-4168-B4E5-92721613774E}" destId="{30650CEB-A118-49A7-A123-94A8C57FA2EC}" srcOrd="0" destOrd="0" presId="urn:microsoft.com/office/officeart/2005/8/layout/orgChart1"/>
    <dgm:cxn modelId="{435A2CCE-0DDE-4591-9E15-7D6758B9E40A}" type="presOf" srcId="{5A31DF60-F7A4-4397-9106-1BC638A7A2DC}" destId="{5CFC2208-6668-4FA4-BAAD-980E35827406}" srcOrd="1" destOrd="0" presId="urn:microsoft.com/office/officeart/2005/8/layout/orgChart1"/>
    <dgm:cxn modelId="{F845EE26-8443-4DE5-AF0F-035F60066FEC}" type="presOf" srcId="{AFF8ABF9-6F4D-4EED-8517-5D10F0FC5F16}" destId="{6141AA72-B748-4EFD-A5AD-81D9D008FBBC}" srcOrd="1" destOrd="0" presId="urn:microsoft.com/office/officeart/2005/8/layout/orgChart1"/>
    <dgm:cxn modelId="{C99118C5-D4B2-4A70-889F-E4B83BC395E7}" type="presOf" srcId="{3F4062E9-37F5-492B-AACC-07DFCD1CA2A0}" destId="{BC83312B-2803-41F6-A913-2E6E0E12097D}" srcOrd="0" destOrd="0" presId="urn:microsoft.com/office/officeart/2005/8/layout/orgChart1"/>
    <dgm:cxn modelId="{CC7C2191-A31E-4380-9E32-3DAD96ADE428}" type="presOf" srcId="{EC0D339E-CF5F-4483-8035-3BBADE1D81CD}" destId="{191F4CB2-D324-4D2A-8A8B-45F0D300E771}" srcOrd="1" destOrd="0" presId="urn:microsoft.com/office/officeart/2005/8/layout/orgChart1"/>
    <dgm:cxn modelId="{945B91AD-BB39-4143-87E7-37538EBB92D8}" type="presOf" srcId="{EC0D339E-CF5F-4483-8035-3BBADE1D81CD}" destId="{600EB0A5-A472-41AD-A7B3-09B8EE2C11F6}" srcOrd="0" destOrd="0" presId="urn:microsoft.com/office/officeart/2005/8/layout/orgChart1"/>
    <dgm:cxn modelId="{D7745EE6-929A-4434-A029-807BE0EC85C1}" srcId="{5948222B-CB95-4168-B4E5-92721613774E}" destId="{AFF8ABF9-6F4D-4EED-8517-5D10F0FC5F16}" srcOrd="0" destOrd="0" parTransId="{9D3F9E35-F666-49CF-A992-C140184B3B1B}" sibTransId="{0722E73F-026D-47E0-80B8-32CD2EFCB149}"/>
    <dgm:cxn modelId="{DA30FC3C-F384-4D47-8270-E2C435D53FC4}" type="presOf" srcId="{2325E6CC-7919-44E0-BB9A-53ABB90B72ED}" destId="{FE0206E1-21C4-40AF-883E-B3CDBC74BDC8}" srcOrd="1" destOrd="0" presId="urn:microsoft.com/office/officeart/2005/8/layout/orgChart1"/>
    <dgm:cxn modelId="{1ED4821A-A0E3-4ACD-9763-26A0875DDAEC}" type="presOf" srcId="{935008D3-267C-4062-A6E5-8967C7C3B6AD}" destId="{2CC780BB-BF1F-41AD-842A-8E260D69C430}" srcOrd="1" destOrd="0" presId="urn:microsoft.com/office/officeart/2005/8/layout/orgChart1"/>
    <dgm:cxn modelId="{7DAA9331-6996-4381-B6B9-D7A41CC64FF1}" type="presOf" srcId="{935008D3-267C-4062-A6E5-8967C7C3B6AD}" destId="{1B76F383-B7B4-4701-8BCF-7462FB7DC8BE}" srcOrd="0" destOrd="0" presId="urn:microsoft.com/office/officeart/2005/8/layout/orgChart1"/>
    <dgm:cxn modelId="{E5ED3DC9-A943-44E6-AE66-6DCB599F8AD2}" type="presOf" srcId="{C50B46D1-08B9-4078-8C89-8AC4174C53AD}" destId="{F2E1290A-8F51-421B-9A1F-08A1922D09CE}" srcOrd="0" destOrd="0" presId="urn:microsoft.com/office/officeart/2005/8/layout/orgChart1"/>
    <dgm:cxn modelId="{B4256C1C-7EE5-416A-8CEF-DC33D2FD1AB7}" type="presOf" srcId="{873318E3-A3F3-4BD1-85CC-6031358691D4}" destId="{2E5007B0-5046-4A70-B22B-18F96EB77701}" srcOrd="0" destOrd="0" presId="urn:microsoft.com/office/officeart/2005/8/layout/orgChart1"/>
    <dgm:cxn modelId="{1B29D1DF-509B-405F-AE88-1B3980DB33B7}" srcId="{3C173D0C-6643-4A9E-951F-2768625A96C8}" destId="{06D31213-06A2-4F0D-8ADC-E43CB0E8AC24}" srcOrd="3" destOrd="0" parTransId="{873318E3-A3F3-4BD1-85CC-6031358691D4}" sibTransId="{3C52213B-B084-469E-ADFA-57FAE2A1948C}"/>
    <dgm:cxn modelId="{E88A6B24-4F2E-45EF-B8AE-F62BDEEC0426}" srcId="{4C919E9F-7F91-4F2A-B22F-998BD105E78B}" destId="{3C173D0C-6643-4A9E-951F-2768625A96C8}" srcOrd="0" destOrd="0" parTransId="{AE830E05-81AB-4E8E-9E5F-0E1E220530CC}" sibTransId="{D5D0C45B-E8DF-402E-9D4A-77EAB67798BC}"/>
    <dgm:cxn modelId="{94BB84DE-B3D7-4D09-A8F7-A75333E64597}" type="presOf" srcId="{9D3F9E35-F666-49CF-A992-C140184B3B1B}" destId="{D5993E55-1160-4D57-961F-4A3DAD77E402}" srcOrd="0" destOrd="0" presId="urn:microsoft.com/office/officeart/2005/8/layout/orgChart1"/>
    <dgm:cxn modelId="{10F8AEE4-1EDE-4EB6-B916-6BF7DA336B2A}" type="presOf" srcId="{68E684FC-7C9E-4F1C-97B9-F68E1C3EF22F}" destId="{28DEA70B-5F9E-4247-897C-134D4F4C8A21}" srcOrd="1" destOrd="0" presId="urn:microsoft.com/office/officeart/2005/8/layout/orgChart1"/>
    <dgm:cxn modelId="{C17B2767-85C8-40AD-AA49-7CD1E119DE6F}" type="presOf" srcId="{0B5C9BED-CE0D-4C98-8C21-23A705692B90}" destId="{6F8D9886-16F6-40F7-AA94-6D479C084E19}" srcOrd="0" destOrd="0" presId="urn:microsoft.com/office/officeart/2005/8/layout/orgChart1"/>
    <dgm:cxn modelId="{661F40D3-E89E-4C51-9520-CCCAC2FAC764}" type="presOf" srcId="{3C173D0C-6643-4A9E-951F-2768625A96C8}" destId="{CE08D443-3EB3-4BA7-A9AE-66751BAE263C}" srcOrd="0" destOrd="0" presId="urn:microsoft.com/office/officeart/2005/8/layout/orgChart1"/>
    <dgm:cxn modelId="{6326BE84-F1DC-4A0E-90FC-003A2222CDD8}" type="presOf" srcId="{5948222B-CB95-4168-B4E5-92721613774E}" destId="{DC43FF53-E388-4009-BC5B-415E31AA6739}" srcOrd="1" destOrd="0" presId="urn:microsoft.com/office/officeart/2005/8/layout/orgChart1"/>
    <dgm:cxn modelId="{D595BE24-3D34-44A0-80DF-EB962867BEF9}" type="presOf" srcId="{4C99BD34-F543-449E-841B-254E9571B6EA}" destId="{590DEF46-3D3F-46B2-A10F-42EC166C4720}" srcOrd="1" destOrd="0" presId="urn:microsoft.com/office/officeart/2005/8/layout/orgChart1"/>
    <dgm:cxn modelId="{CE5790BA-EF19-4C7D-893E-B886AFCF0692}" srcId="{3C173D0C-6643-4A9E-951F-2768625A96C8}" destId="{5A31DF60-F7A4-4397-9106-1BC638A7A2DC}" srcOrd="2" destOrd="0" parTransId="{91E05349-058F-4021-B64C-0650F6301834}" sibTransId="{02161C1D-BDFA-44A6-A675-7CEED3D8A6C5}"/>
    <dgm:cxn modelId="{0B545B0F-9052-40D9-BD59-148171FA6DEC}" type="presOf" srcId="{06D31213-06A2-4F0D-8ADC-E43CB0E8AC24}" destId="{F349691F-9834-47D8-A870-2749D1E77037}" srcOrd="0" destOrd="0" presId="urn:microsoft.com/office/officeart/2005/8/layout/orgChart1"/>
    <dgm:cxn modelId="{AF81D0EB-0ABD-4B4A-BF15-7775CDF7355F}" srcId="{3C173D0C-6643-4A9E-951F-2768625A96C8}" destId="{5948222B-CB95-4168-B4E5-92721613774E}" srcOrd="1" destOrd="0" parTransId="{0B5C9BED-CE0D-4C98-8C21-23A705692B90}" sibTransId="{AABFA9C2-FC2C-43BA-9348-522C28F72815}"/>
    <dgm:cxn modelId="{40903BAF-324D-4815-AA4F-1F4DBAF594AA}" srcId="{3C173D0C-6643-4A9E-951F-2768625A96C8}" destId="{A37C9B23-3C98-4E40-9DF1-42B7512748ED}" srcOrd="0" destOrd="0" parTransId="{3F4062E9-37F5-492B-AACC-07DFCD1CA2A0}" sibTransId="{D99CE0F0-5764-424B-9BB4-BB439A4C4E08}"/>
    <dgm:cxn modelId="{CE23C95D-E76C-44CB-954D-5EB6DADFDD1B}" type="presOf" srcId="{56EBA336-7653-4221-B89B-10E2FDDC1749}" destId="{536FA189-27F2-47BC-A238-A6CD1C5C56D3}" srcOrd="0" destOrd="0" presId="urn:microsoft.com/office/officeart/2005/8/layout/orgChart1"/>
    <dgm:cxn modelId="{349DD630-0D0A-4190-87B7-44537A015352}" srcId="{5A31DF60-F7A4-4397-9106-1BC638A7A2DC}" destId="{945FBBA2-FDCE-4B86-91DB-16DBA15EB0EC}" srcOrd="0" destOrd="0" parTransId="{F0468EB0-D505-47C7-86A2-6A9D3AA1FF87}" sibTransId="{FE8163CC-C4E8-40A7-8546-7D85E47D0621}"/>
    <dgm:cxn modelId="{529979D6-DC2C-407B-A485-6494FC27C606}" type="presOf" srcId="{06D31213-06A2-4F0D-8ADC-E43CB0E8AC24}" destId="{3CF5CEFB-100C-4BDD-B86D-6F11345154B5}" srcOrd="1" destOrd="0" presId="urn:microsoft.com/office/officeart/2005/8/layout/orgChart1"/>
    <dgm:cxn modelId="{F8E1F838-8A3F-436F-A538-91136DAA7233}" srcId="{A37C9B23-3C98-4E40-9DF1-42B7512748ED}" destId="{7556B193-DBD3-4389-922B-16D3E077B2A0}" srcOrd="0" destOrd="0" parTransId="{6FA465C5-69C0-4A29-A3C3-89D20A2BFDE1}" sibTransId="{3CE2ECB3-1898-4AE1-8A31-9E1236DF63AE}"/>
    <dgm:cxn modelId="{12A03FFE-CC0D-40EA-9AF4-3F5F949814C0}" type="presOf" srcId="{2325E6CC-7919-44E0-BB9A-53ABB90B72ED}" destId="{CCE66C66-B16A-4916-84FC-B72268AF55F8}" srcOrd="0" destOrd="0" presId="urn:microsoft.com/office/officeart/2005/8/layout/orgChart1"/>
    <dgm:cxn modelId="{85DC13FC-CE3D-44AE-81D8-61C14F2EBEF9}" type="presOf" srcId="{F0468EB0-D505-47C7-86A2-6A9D3AA1FF87}" destId="{B5F4FCDC-8977-4D39-B88E-AE67FA2D4EF8}" srcOrd="0" destOrd="0" presId="urn:microsoft.com/office/officeart/2005/8/layout/orgChart1"/>
    <dgm:cxn modelId="{E2FF4218-01D2-44DE-9FE0-2F3C94E73B3E}" srcId="{5948222B-CB95-4168-B4E5-92721613774E}" destId="{68E684FC-7C9E-4F1C-97B9-F68E1C3EF22F}" srcOrd="1" destOrd="0" parTransId="{C50B46D1-08B9-4078-8C89-8AC4174C53AD}" sibTransId="{E5010456-81F5-41B8-94C6-FAD6A8B99B29}"/>
    <dgm:cxn modelId="{91765061-2EA9-4EB0-AE22-C8539F2B23E1}" type="presOf" srcId="{F8A5F563-F060-4F73-A109-D0AA9916313B}" destId="{855B89CD-6527-4F0B-80BF-423AFFAC6067}" srcOrd="1" destOrd="0" presId="urn:microsoft.com/office/officeart/2005/8/layout/orgChart1"/>
    <dgm:cxn modelId="{C4AB5974-C100-4B7E-9859-EBC15D9F31F6}" type="presOf" srcId="{B0A13297-E3E0-4013-84B0-82CA9C7CB62C}" destId="{5EED6CCF-5784-4C88-83DD-1FECF5709EA4}" srcOrd="0" destOrd="0" presId="urn:microsoft.com/office/officeart/2005/8/layout/orgChart1"/>
    <dgm:cxn modelId="{38D8BB88-D706-44BB-BEA8-1D6D8D2A1F7A}" type="presOf" srcId="{90B41005-B98B-45EA-A5FF-A1A17F150BEA}" destId="{7954F406-485A-4EB6-93FF-F0F6ABE009DD}" srcOrd="1" destOrd="0" presId="urn:microsoft.com/office/officeart/2005/8/layout/orgChart1"/>
    <dgm:cxn modelId="{AC449008-6DCA-4437-9FDA-D029EA420743}" type="presOf" srcId="{6E2B1509-E9CA-4B72-A783-DF840DAEB74A}" destId="{0647EEC5-41C2-462B-B58F-04A4D6ADF2AB}" srcOrd="0" destOrd="0" presId="urn:microsoft.com/office/officeart/2005/8/layout/orgChart1"/>
    <dgm:cxn modelId="{D0121411-EB49-4D5C-ABD0-D270C98A5241}" type="presOf" srcId="{F8A5F563-F060-4F73-A109-D0AA9916313B}" destId="{9EA90A1C-D3D2-482E-9D7A-E272F0535AA6}" srcOrd="0" destOrd="0" presId="urn:microsoft.com/office/officeart/2005/8/layout/orgChart1"/>
    <dgm:cxn modelId="{D145D1CF-69D0-471E-A843-A175F4593867}" type="presOf" srcId="{AFF8ABF9-6F4D-4EED-8517-5D10F0FC5F16}" destId="{91DD423E-D2DF-4A59-831F-AB0F0B81C01C}" srcOrd="0" destOrd="0" presId="urn:microsoft.com/office/officeart/2005/8/layout/orgChart1"/>
    <dgm:cxn modelId="{58E66446-6AA1-479B-B555-0339F03EFC49}" type="presOf" srcId="{50A0C4F2-3130-482E-9518-A837EB157B99}" destId="{98427118-0D3B-4216-9720-41E41E352646}" srcOrd="0" destOrd="0" presId="urn:microsoft.com/office/officeart/2005/8/layout/orgChart1"/>
    <dgm:cxn modelId="{17F37B53-216E-4423-A540-51A0E915D636}" type="presOf" srcId="{7556B193-DBD3-4389-922B-16D3E077B2A0}" destId="{A7836BB1-EB21-423A-9072-69B135629072}" srcOrd="1" destOrd="0" presId="urn:microsoft.com/office/officeart/2005/8/layout/orgChart1"/>
    <dgm:cxn modelId="{B1F6508A-854C-4A92-A27B-13EB40122CF9}" type="presOf" srcId="{90B41005-B98B-45EA-A5FF-A1A17F150BEA}" destId="{4B7CA603-BFA2-4F5C-A47D-5B60F3E428BB}" srcOrd="0" destOrd="0" presId="urn:microsoft.com/office/officeart/2005/8/layout/orgChart1"/>
    <dgm:cxn modelId="{BCEE7499-BCA9-4F9B-BEF3-970EB7303B40}" srcId="{A37C9B23-3C98-4E40-9DF1-42B7512748ED}" destId="{2325E6CC-7919-44E0-BB9A-53ABB90B72ED}" srcOrd="1" destOrd="0" parTransId="{50A0C4F2-3130-482E-9518-A837EB157B99}" sibTransId="{74D850A1-F47C-4BFC-986E-A13A7271C621}"/>
    <dgm:cxn modelId="{2A89B81B-1A41-4BAC-8DBE-C43EAA0C0B46}" type="presOf" srcId="{3C173D0C-6643-4A9E-951F-2768625A96C8}" destId="{38091224-5D41-41ED-BF83-877ADEFDFFCE}" srcOrd="1" destOrd="0" presId="urn:microsoft.com/office/officeart/2005/8/layout/orgChart1"/>
    <dgm:cxn modelId="{9D205DB7-1A52-425B-9781-1CF9C3C1E9BE}" type="presOf" srcId="{5A31DF60-F7A4-4397-9106-1BC638A7A2DC}" destId="{7F51D661-B8B2-46FC-A9BF-11643DD68FB0}" srcOrd="0" destOrd="0" presId="urn:microsoft.com/office/officeart/2005/8/layout/orgChart1"/>
    <dgm:cxn modelId="{4C6E2F13-B5E0-49C2-BDEA-1218F69938D3}" type="presOf" srcId="{945FBBA2-FDCE-4B86-91DB-16DBA15EB0EC}" destId="{66168712-B088-4E91-A614-F6702EF169A3}" srcOrd="1" destOrd="0" presId="urn:microsoft.com/office/officeart/2005/8/layout/orgChart1"/>
    <dgm:cxn modelId="{04AF41DF-E1F2-44FF-81B3-3BD622B57FAB}" type="presOf" srcId="{A37C9B23-3C98-4E40-9DF1-42B7512748ED}" destId="{2EE4677A-0FD3-4797-8565-5D9A3C5FEB1A}" srcOrd="1" destOrd="0" presId="urn:microsoft.com/office/officeart/2005/8/layout/orgChart1"/>
    <dgm:cxn modelId="{94DC9BE3-B818-41A5-97FD-CEFF76A55B20}" type="presOf" srcId="{4C99BD34-F543-449E-841B-254E9571B6EA}" destId="{44F81E7A-9FB2-4396-B431-979DDC5AF633}" srcOrd="0" destOrd="0" presId="urn:microsoft.com/office/officeart/2005/8/layout/orgChart1"/>
    <dgm:cxn modelId="{3DAFFADE-3622-4846-8E40-FD4F93DF1F08}" type="presOf" srcId="{6FA465C5-69C0-4A29-A3C3-89D20A2BFDE1}" destId="{CA363247-8BCF-4D7E-9E97-3568F6FD8ADA}" srcOrd="0" destOrd="0" presId="urn:microsoft.com/office/officeart/2005/8/layout/orgChart1"/>
    <dgm:cxn modelId="{358DF7A5-5778-4C00-91AF-7F84503D9CF6}" srcId="{3C173D0C-6643-4A9E-951F-2768625A96C8}" destId="{EC0D339E-CF5F-4483-8035-3BBADE1D81CD}" srcOrd="6" destOrd="0" parTransId="{73447D19-73F0-4ACF-8727-7AEB8839C2DA}" sibTransId="{99FC0496-1DF9-430F-9981-21819341CE63}"/>
    <dgm:cxn modelId="{6445B792-421B-4B64-B277-5E897630553F}" srcId="{3C173D0C-6643-4A9E-951F-2768625A96C8}" destId="{90B41005-B98B-45EA-A5FF-A1A17F150BEA}" srcOrd="5" destOrd="0" parTransId="{533736F9-0B57-40E2-9B6D-8D099AD9D1A8}" sibTransId="{C2EFA9AE-CB7C-458C-8556-EF41CB16C82A}"/>
    <dgm:cxn modelId="{822B4F64-AC27-469D-87BA-9D1FADB9384F}" type="presOf" srcId="{73447D19-73F0-4ACF-8727-7AEB8839C2DA}" destId="{C8FCFB90-142F-4553-BD47-97614D09E557}" srcOrd="0" destOrd="0" presId="urn:microsoft.com/office/officeart/2005/8/layout/orgChart1"/>
    <dgm:cxn modelId="{368E8F1D-DFDA-43A0-BB24-F75AD1A8A581}" type="presOf" srcId="{533736F9-0B57-40E2-9B6D-8D099AD9D1A8}" destId="{57FBC521-FD4A-4EDB-B4DC-1D1B3ABF4763}" srcOrd="0" destOrd="0" presId="urn:microsoft.com/office/officeart/2005/8/layout/orgChart1"/>
    <dgm:cxn modelId="{BBBAA52B-525F-4E19-821D-DA6FBF8C1DBB}" type="presParOf" srcId="{0657BD6A-2EBD-4038-96CA-C7DFEE103BB6}" destId="{A62B3475-BBF2-4AD0-BE58-9F6AC1106186}" srcOrd="0" destOrd="0" presId="urn:microsoft.com/office/officeart/2005/8/layout/orgChart1"/>
    <dgm:cxn modelId="{BBBC1B1F-4BB6-44F2-8465-A691FD0461E4}" type="presParOf" srcId="{A62B3475-BBF2-4AD0-BE58-9F6AC1106186}" destId="{1B8357C9-C2B0-4788-9B1B-FE83B453F491}" srcOrd="0" destOrd="0" presId="urn:microsoft.com/office/officeart/2005/8/layout/orgChart1"/>
    <dgm:cxn modelId="{7E9A4031-3551-4EFA-BC7D-F7CB23CCC1F4}" type="presParOf" srcId="{1B8357C9-C2B0-4788-9B1B-FE83B453F491}" destId="{CE08D443-3EB3-4BA7-A9AE-66751BAE263C}" srcOrd="0" destOrd="0" presId="urn:microsoft.com/office/officeart/2005/8/layout/orgChart1"/>
    <dgm:cxn modelId="{28C92B8B-CCFE-420B-9B5A-6D7A94CE68DA}" type="presParOf" srcId="{1B8357C9-C2B0-4788-9B1B-FE83B453F491}" destId="{38091224-5D41-41ED-BF83-877ADEFDFFCE}" srcOrd="1" destOrd="0" presId="urn:microsoft.com/office/officeart/2005/8/layout/orgChart1"/>
    <dgm:cxn modelId="{4689897F-2A64-4A2F-A382-15D65DF02B99}" type="presParOf" srcId="{A62B3475-BBF2-4AD0-BE58-9F6AC1106186}" destId="{1467863A-81A5-422B-BB30-C0FA6213FEE5}" srcOrd="1" destOrd="0" presId="urn:microsoft.com/office/officeart/2005/8/layout/orgChart1"/>
    <dgm:cxn modelId="{49D04AF9-E6BC-41F1-8CCA-2DFC88C326BE}" type="presParOf" srcId="{1467863A-81A5-422B-BB30-C0FA6213FEE5}" destId="{BC83312B-2803-41F6-A913-2E6E0E12097D}" srcOrd="0" destOrd="0" presId="urn:microsoft.com/office/officeart/2005/8/layout/orgChart1"/>
    <dgm:cxn modelId="{EBCE0A61-9D75-46D5-884F-BE0890F7F648}" type="presParOf" srcId="{1467863A-81A5-422B-BB30-C0FA6213FEE5}" destId="{46D184CA-B58C-4530-A7CC-374FC403EB52}" srcOrd="1" destOrd="0" presId="urn:microsoft.com/office/officeart/2005/8/layout/orgChart1"/>
    <dgm:cxn modelId="{764C6048-53D3-48EB-8D6E-44A490E1F7DE}" type="presParOf" srcId="{46D184CA-B58C-4530-A7CC-374FC403EB52}" destId="{75DA3228-0102-4375-A88E-1ED47C0760DA}" srcOrd="0" destOrd="0" presId="urn:microsoft.com/office/officeart/2005/8/layout/orgChart1"/>
    <dgm:cxn modelId="{87B99710-9D85-451F-929B-18B58BCFC86B}" type="presParOf" srcId="{75DA3228-0102-4375-A88E-1ED47C0760DA}" destId="{F64565BC-95D3-4F0D-A921-C96B506AC33D}" srcOrd="0" destOrd="0" presId="urn:microsoft.com/office/officeart/2005/8/layout/orgChart1"/>
    <dgm:cxn modelId="{2041D100-2D37-4282-ACAC-E054FC8206FC}" type="presParOf" srcId="{75DA3228-0102-4375-A88E-1ED47C0760DA}" destId="{2EE4677A-0FD3-4797-8565-5D9A3C5FEB1A}" srcOrd="1" destOrd="0" presId="urn:microsoft.com/office/officeart/2005/8/layout/orgChart1"/>
    <dgm:cxn modelId="{292B73A4-00B5-4D60-963E-7637F3BC34C7}" type="presParOf" srcId="{46D184CA-B58C-4530-A7CC-374FC403EB52}" destId="{7D4796D9-4160-421F-BF08-941517A85935}" srcOrd="1" destOrd="0" presId="urn:microsoft.com/office/officeart/2005/8/layout/orgChart1"/>
    <dgm:cxn modelId="{D1D23AF2-E65F-4647-A6D7-47C3F44E3BEF}" type="presParOf" srcId="{7D4796D9-4160-421F-BF08-941517A85935}" destId="{CA363247-8BCF-4D7E-9E97-3568F6FD8ADA}" srcOrd="0" destOrd="0" presId="urn:microsoft.com/office/officeart/2005/8/layout/orgChart1"/>
    <dgm:cxn modelId="{69F551C1-13C8-48FC-BB7B-D5A42194244C}" type="presParOf" srcId="{7D4796D9-4160-421F-BF08-941517A85935}" destId="{0F7CD997-9648-4E3B-93E7-B25722CEDF16}" srcOrd="1" destOrd="0" presId="urn:microsoft.com/office/officeart/2005/8/layout/orgChart1"/>
    <dgm:cxn modelId="{2EC51B2D-3E8A-4415-80EE-D728C38972AA}" type="presParOf" srcId="{0F7CD997-9648-4E3B-93E7-B25722CEDF16}" destId="{E2C2C022-5F48-4F1E-9980-A6AA2769D6D3}" srcOrd="0" destOrd="0" presId="urn:microsoft.com/office/officeart/2005/8/layout/orgChart1"/>
    <dgm:cxn modelId="{5C04CC56-7DC9-435E-AD80-6616F8E4A9CF}" type="presParOf" srcId="{E2C2C022-5F48-4F1E-9980-A6AA2769D6D3}" destId="{DCE56066-85B6-41F2-BA2E-42038C7C8085}" srcOrd="0" destOrd="0" presId="urn:microsoft.com/office/officeart/2005/8/layout/orgChart1"/>
    <dgm:cxn modelId="{DAD7000E-F2E9-41FF-8542-C38ED3E37FEE}" type="presParOf" srcId="{E2C2C022-5F48-4F1E-9980-A6AA2769D6D3}" destId="{A7836BB1-EB21-423A-9072-69B135629072}" srcOrd="1" destOrd="0" presId="urn:microsoft.com/office/officeart/2005/8/layout/orgChart1"/>
    <dgm:cxn modelId="{8890008D-BE0E-4037-9C49-D5F0E3A53517}" type="presParOf" srcId="{0F7CD997-9648-4E3B-93E7-B25722CEDF16}" destId="{C98035AC-2153-43AD-9AE1-261F2134D7AF}" srcOrd="1" destOrd="0" presId="urn:microsoft.com/office/officeart/2005/8/layout/orgChart1"/>
    <dgm:cxn modelId="{10469AA5-028C-486F-8524-EFF4A88F059A}" type="presParOf" srcId="{0F7CD997-9648-4E3B-93E7-B25722CEDF16}" destId="{79B7D824-1E61-4DB4-A522-1A4E51B1D3FA}" srcOrd="2" destOrd="0" presId="urn:microsoft.com/office/officeart/2005/8/layout/orgChart1"/>
    <dgm:cxn modelId="{58772EEE-37FF-4C49-B788-670DAD78660A}" type="presParOf" srcId="{7D4796D9-4160-421F-BF08-941517A85935}" destId="{98427118-0D3B-4216-9720-41E41E352646}" srcOrd="2" destOrd="0" presId="urn:microsoft.com/office/officeart/2005/8/layout/orgChart1"/>
    <dgm:cxn modelId="{9CA378AE-D55C-4C05-AC04-57FC60110CF4}" type="presParOf" srcId="{7D4796D9-4160-421F-BF08-941517A85935}" destId="{BA795C98-8607-4777-A3AB-6D1E1C5EC2F9}" srcOrd="3" destOrd="0" presId="urn:microsoft.com/office/officeart/2005/8/layout/orgChart1"/>
    <dgm:cxn modelId="{266827B1-E1C2-4A4B-B9D5-AB294C92C01E}" type="presParOf" srcId="{BA795C98-8607-4777-A3AB-6D1E1C5EC2F9}" destId="{35A74DC4-E926-41F4-9640-65F9947D6378}" srcOrd="0" destOrd="0" presId="urn:microsoft.com/office/officeart/2005/8/layout/orgChart1"/>
    <dgm:cxn modelId="{8275DCE2-298C-4999-86FF-8C54E18354E8}" type="presParOf" srcId="{35A74DC4-E926-41F4-9640-65F9947D6378}" destId="{CCE66C66-B16A-4916-84FC-B72268AF55F8}" srcOrd="0" destOrd="0" presId="urn:microsoft.com/office/officeart/2005/8/layout/orgChart1"/>
    <dgm:cxn modelId="{702B3427-3FBC-4067-A548-6433D03923FD}" type="presParOf" srcId="{35A74DC4-E926-41F4-9640-65F9947D6378}" destId="{FE0206E1-21C4-40AF-883E-B3CDBC74BDC8}" srcOrd="1" destOrd="0" presId="urn:microsoft.com/office/officeart/2005/8/layout/orgChart1"/>
    <dgm:cxn modelId="{BAFF55AB-ADE4-4135-9217-A7F55C94803D}" type="presParOf" srcId="{BA795C98-8607-4777-A3AB-6D1E1C5EC2F9}" destId="{7862C03D-DA17-43CC-BA96-DB2856399163}" srcOrd="1" destOrd="0" presId="urn:microsoft.com/office/officeart/2005/8/layout/orgChart1"/>
    <dgm:cxn modelId="{60051AA2-4829-4BE5-846C-886D3B92CED1}" type="presParOf" srcId="{BA795C98-8607-4777-A3AB-6D1E1C5EC2F9}" destId="{2EAA54D0-286A-4763-ABB6-B9A0FD725744}" srcOrd="2" destOrd="0" presId="urn:microsoft.com/office/officeart/2005/8/layout/orgChart1"/>
    <dgm:cxn modelId="{A111435B-2131-4CED-98FA-26D7663FC315}" type="presParOf" srcId="{46D184CA-B58C-4530-A7CC-374FC403EB52}" destId="{A903EF89-30CB-4508-843C-327E1DC68F6F}" srcOrd="2" destOrd="0" presId="urn:microsoft.com/office/officeart/2005/8/layout/orgChart1"/>
    <dgm:cxn modelId="{F08ECC1E-580A-468A-AA7F-DEFDB365AB6C}" type="presParOf" srcId="{1467863A-81A5-422B-BB30-C0FA6213FEE5}" destId="{6F8D9886-16F6-40F7-AA94-6D479C084E19}" srcOrd="2" destOrd="0" presId="urn:microsoft.com/office/officeart/2005/8/layout/orgChart1"/>
    <dgm:cxn modelId="{F064B47A-B50C-4AF1-A677-24B04C582724}" type="presParOf" srcId="{1467863A-81A5-422B-BB30-C0FA6213FEE5}" destId="{8115A4D7-5029-421F-A9B9-D10D711B032A}" srcOrd="3" destOrd="0" presId="urn:microsoft.com/office/officeart/2005/8/layout/orgChart1"/>
    <dgm:cxn modelId="{07648EEB-9168-4900-93CF-5AAFE8436BCE}" type="presParOf" srcId="{8115A4D7-5029-421F-A9B9-D10D711B032A}" destId="{CAC3FE4B-37EB-4480-927D-1E9B0A2FACF5}" srcOrd="0" destOrd="0" presId="urn:microsoft.com/office/officeart/2005/8/layout/orgChart1"/>
    <dgm:cxn modelId="{9534AEBA-D5BE-45E0-8EAC-D065E2A70B1F}" type="presParOf" srcId="{CAC3FE4B-37EB-4480-927D-1E9B0A2FACF5}" destId="{30650CEB-A118-49A7-A123-94A8C57FA2EC}" srcOrd="0" destOrd="0" presId="urn:microsoft.com/office/officeart/2005/8/layout/orgChart1"/>
    <dgm:cxn modelId="{20DE720F-52B0-491D-B408-933649CFD31A}" type="presParOf" srcId="{CAC3FE4B-37EB-4480-927D-1E9B0A2FACF5}" destId="{DC43FF53-E388-4009-BC5B-415E31AA6739}" srcOrd="1" destOrd="0" presId="urn:microsoft.com/office/officeart/2005/8/layout/orgChart1"/>
    <dgm:cxn modelId="{D20DC01A-3EC1-4029-BEEF-666E7584D181}" type="presParOf" srcId="{8115A4D7-5029-421F-A9B9-D10D711B032A}" destId="{B5610D3A-EA02-41A8-9234-D1FB8AD8BC27}" srcOrd="1" destOrd="0" presId="urn:microsoft.com/office/officeart/2005/8/layout/orgChart1"/>
    <dgm:cxn modelId="{235DBC61-68E4-498D-8D53-C0D04BAA714C}" type="presParOf" srcId="{B5610D3A-EA02-41A8-9234-D1FB8AD8BC27}" destId="{D5993E55-1160-4D57-961F-4A3DAD77E402}" srcOrd="0" destOrd="0" presId="urn:microsoft.com/office/officeart/2005/8/layout/orgChart1"/>
    <dgm:cxn modelId="{E18155B1-49FF-4175-AB5A-9D0148F639AF}" type="presParOf" srcId="{B5610D3A-EA02-41A8-9234-D1FB8AD8BC27}" destId="{96ABC105-CEC4-4479-8B6E-AF053791B126}" srcOrd="1" destOrd="0" presId="urn:microsoft.com/office/officeart/2005/8/layout/orgChart1"/>
    <dgm:cxn modelId="{CC667521-F696-4795-90BE-22CAB6FBE203}" type="presParOf" srcId="{96ABC105-CEC4-4479-8B6E-AF053791B126}" destId="{A486AB82-3ADA-4BCC-AB23-4F8674609B81}" srcOrd="0" destOrd="0" presId="urn:microsoft.com/office/officeart/2005/8/layout/orgChart1"/>
    <dgm:cxn modelId="{F67E47F1-16ED-41B9-BC8C-1A00FD53A40B}" type="presParOf" srcId="{A486AB82-3ADA-4BCC-AB23-4F8674609B81}" destId="{91DD423E-D2DF-4A59-831F-AB0F0B81C01C}" srcOrd="0" destOrd="0" presId="urn:microsoft.com/office/officeart/2005/8/layout/orgChart1"/>
    <dgm:cxn modelId="{AA1ECF81-602C-4779-83BA-F86429604A79}" type="presParOf" srcId="{A486AB82-3ADA-4BCC-AB23-4F8674609B81}" destId="{6141AA72-B748-4EFD-A5AD-81D9D008FBBC}" srcOrd="1" destOrd="0" presId="urn:microsoft.com/office/officeart/2005/8/layout/orgChart1"/>
    <dgm:cxn modelId="{4FD38A47-24F5-4E20-9F3C-5ECE720DCA19}" type="presParOf" srcId="{96ABC105-CEC4-4479-8B6E-AF053791B126}" destId="{CAFD1657-2067-42C9-89BC-57B1DA2E37C7}" srcOrd="1" destOrd="0" presId="urn:microsoft.com/office/officeart/2005/8/layout/orgChart1"/>
    <dgm:cxn modelId="{08F77EDA-9045-4732-9765-B7435EFC9A9E}" type="presParOf" srcId="{96ABC105-CEC4-4479-8B6E-AF053791B126}" destId="{32A4640E-51E8-493E-B954-2A05E2EE23A1}" srcOrd="2" destOrd="0" presId="urn:microsoft.com/office/officeart/2005/8/layout/orgChart1"/>
    <dgm:cxn modelId="{EF57D543-8B42-4378-B9B9-04C4967AF26F}" type="presParOf" srcId="{B5610D3A-EA02-41A8-9234-D1FB8AD8BC27}" destId="{F2E1290A-8F51-421B-9A1F-08A1922D09CE}" srcOrd="2" destOrd="0" presId="urn:microsoft.com/office/officeart/2005/8/layout/orgChart1"/>
    <dgm:cxn modelId="{38C1D29E-A09C-49B2-9C51-6D5BEED0587A}" type="presParOf" srcId="{B5610D3A-EA02-41A8-9234-D1FB8AD8BC27}" destId="{C0CC67D3-6C9A-44FD-BF7E-4B660EB724DB}" srcOrd="3" destOrd="0" presId="urn:microsoft.com/office/officeart/2005/8/layout/orgChart1"/>
    <dgm:cxn modelId="{9429E5AC-C145-4FB0-AD06-62BFAB84A4E0}" type="presParOf" srcId="{C0CC67D3-6C9A-44FD-BF7E-4B660EB724DB}" destId="{A6B69BDC-7C20-4AB6-82E7-24E2074897B6}" srcOrd="0" destOrd="0" presId="urn:microsoft.com/office/officeart/2005/8/layout/orgChart1"/>
    <dgm:cxn modelId="{6F13D010-6C87-42CD-8B3C-45AC08B733A1}" type="presParOf" srcId="{A6B69BDC-7C20-4AB6-82E7-24E2074897B6}" destId="{35406666-01EC-4EB1-9818-BABF47FE4ACA}" srcOrd="0" destOrd="0" presId="urn:microsoft.com/office/officeart/2005/8/layout/orgChart1"/>
    <dgm:cxn modelId="{AE7CF429-3BA8-4035-A294-77C42B03E089}" type="presParOf" srcId="{A6B69BDC-7C20-4AB6-82E7-24E2074897B6}" destId="{28DEA70B-5F9E-4247-897C-134D4F4C8A21}" srcOrd="1" destOrd="0" presId="urn:microsoft.com/office/officeart/2005/8/layout/orgChart1"/>
    <dgm:cxn modelId="{DC1E25B0-FF9C-4EFD-BF7F-2C957F62B849}" type="presParOf" srcId="{C0CC67D3-6C9A-44FD-BF7E-4B660EB724DB}" destId="{97FAC06E-B3AC-4C28-AE24-256D2934841F}" srcOrd="1" destOrd="0" presId="urn:microsoft.com/office/officeart/2005/8/layout/orgChart1"/>
    <dgm:cxn modelId="{004DBB2C-E69B-481E-B55C-767F3BD678F7}" type="presParOf" srcId="{C0CC67D3-6C9A-44FD-BF7E-4B660EB724DB}" destId="{0D1A8934-F4A1-49B6-9D71-79D79853FAEE}" srcOrd="2" destOrd="0" presId="urn:microsoft.com/office/officeart/2005/8/layout/orgChart1"/>
    <dgm:cxn modelId="{F4730296-1FC4-4F0D-8759-44BB6BA7D201}" type="presParOf" srcId="{B5610D3A-EA02-41A8-9234-D1FB8AD8BC27}" destId="{0647EEC5-41C2-462B-B58F-04A4D6ADF2AB}" srcOrd="4" destOrd="0" presId="urn:microsoft.com/office/officeart/2005/8/layout/orgChart1"/>
    <dgm:cxn modelId="{FC721299-7CA2-431F-A096-43722F4D7CD7}" type="presParOf" srcId="{B5610D3A-EA02-41A8-9234-D1FB8AD8BC27}" destId="{CC853026-27F7-4835-AF36-1B6EEAC48B5D}" srcOrd="5" destOrd="0" presId="urn:microsoft.com/office/officeart/2005/8/layout/orgChart1"/>
    <dgm:cxn modelId="{8ED9BF66-87AF-4DA3-97EA-52D329185972}" type="presParOf" srcId="{CC853026-27F7-4835-AF36-1B6EEAC48B5D}" destId="{F796F82C-841D-4DAD-B636-AF7F25631DA3}" srcOrd="0" destOrd="0" presId="urn:microsoft.com/office/officeart/2005/8/layout/orgChart1"/>
    <dgm:cxn modelId="{C88FA01B-19EF-4A1F-9463-41BA99328A17}" type="presParOf" srcId="{F796F82C-841D-4DAD-B636-AF7F25631DA3}" destId="{9EA90A1C-D3D2-482E-9D7A-E272F0535AA6}" srcOrd="0" destOrd="0" presId="urn:microsoft.com/office/officeart/2005/8/layout/orgChart1"/>
    <dgm:cxn modelId="{A54F3363-A144-4F65-9F73-2CE8D7E1AD2B}" type="presParOf" srcId="{F796F82C-841D-4DAD-B636-AF7F25631DA3}" destId="{855B89CD-6527-4F0B-80BF-423AFFAC6067}" srcOrd="1" destOrd="0" presId="urn:microsoft.com/office/officeart/2005/8/layout/orgChart1"/>
    <dgm:cxn modelId="{78F983AF-1855-4D98-8519-29108DC83749}" type="presParOf" srcId="{CC853026-27F7-4835-AF36-1B6EEAC48B5D}" destId="{0C8F4BBE-572C-4009-924F-6F35EAF79D45}" srcOrd="1" destOrd="0" presId="urn:microsoft.com/office/officeart/2005/8/layout/orgChart1"/>
    <dgm:cxn modelId="{9EEA57DC-C94E-4D4D-BF1F-5EA1FC1686CE}" type="presParOf" srcId="{CC853026-27F7-4835-AF36-1B6EEAC48B5D}" destId="{C0B82921-80C5-409A-9DE8-5EC23E08EF57}" srcOrd="2" destOrd="0" presId="urn:microsoft.com/office/officeart/2005/8/layout/orgChart1"/>
    <dgm:cxn modelId="{E8324754-09AB-4722-91BB-218841C93372}" type="presParOf" srcId="{8115A4D7-5029-421F-A9B9-D10D711B032A}" destId="{4233338B-0C57-4A12-B28D-374E4C07BA14}" srcOrd="2" destOrd="0" presId="urn:microsoft.com/office/officeart/2005/8/layout/orgChart1"/>
    <dgm:cxn modelId="{44724A2D-858B-4266-8878-A4C44FA87808}" type="presParOf" srcId="{1467863A-81A5-422B-BB30-C0FA6213FEE5}" destId="{FB41F750-EB73-4D97-80FE-931BCBB45552}" srcOrd="4" destOrd="0" presId="urn:microsoft.com/office/officeart/2005/8/layout/orgChart1"/>
    <dgm:cxn modelId="{C0149023-F65C-4989-ADFE-63698488C684}" type="presParOf" srcId="{1467863A-81A5-422B-BB30-C0FA6213FEE5}" destId="{1E954B7A-84CD-4BFA-B759-7A854A989A17}" srcOrd="5" destOrd="0" presId="urn:microsoft.com/office/officeart/2005/8/layout/orgChart1"/>
    <dgm:cxn modelId="{E4714079-59F2-4508-B84D-E5830B9B6C94}" type="presParOf" srcId="{1E954B7A-84CD-4BFA-B759-7A854A989A17}" destId="{623C67ED-41AF-442A-9B22-4E985B7E4BED}" srcOrd="0" destOrd="0" presId="urn:microsoft.com/office/officeart/2005/8/layout/orgChart1"/>
    <dgm:cxn modelId="{05C24425-97D2-4EAC-AD73-993904580CB3}" type="presParOf" srcId="{623C67ED-41AF-442A-9B22-4E985B7E4BED}" destId="{7F51D661-B8B2-46FC-A9BF-11643DD68FB0}" srcOrd="0" destOrd="0" presId="urn:microsoft.com/office/officeart/2005/8/layout/orgChart1"/>
    <dgm:cxn modelId="{4D898CDE-67F7-4305-B08E-F3B422C1ED89}" type="presParOf" srcId="{623C67ED-41AF-442A-9B22-4E985B7E4BED}" destId="{5CFC2208-6668-4FA4-BAAD-980E35827406}" srcOrd="1" destOrd="0" presId="urn:microsoft.com/office/officeart/2005/8/layout/orgChart1"/>
    <dgm:cxn modelId="{9E37FF02-125A-44AD-8DA8-68C7005F0CA9}" type="presParOf" srcId="{1E954B7A-84CD-4BFA-B759-7A854A989A17}" destId="{D1C8BD62-CC48-4E11-97C7-B5C426070A88}" srcOrd="1" destOrd="0" presId="urn:microsoft.com/office/officeart/2005/8/layout/orgChart1"/>
    <dgm:cxn modelId="{6FC8D4D1-FBB4-417C-B497-8A4559674877}" type="presParOf" srcId="{D1C8BD62-CC48-4E11-97C7-B5C426070A88}" destId="{B5F4FCDC-8977-4D39-B88E-AE67FA2D4EF8}" srcOrd="0" destOrd="0" presId="urn:microsoft.com/office/officeart/2005/8/layout/orgChart1"/>
    <dgm:cxn modelId="{19671F6C-66B2-4469-83A7-31DAC584D64E}" type="presParOf" srcId="{D1C8BD62-CC48-4E11-97C7-B5C426070A88}" destId="{4765FF4E-BC49-4A60-80D6-C7A9B1481BE7}" srcOrd="1" destOrd="0" presId="urn:microsoft.com/office/officeart/2005/8/layout/orgChart1"/>
    <dgm:cxn modelId="{E2691AD0-B600-4627-9C34-032DEA69B44D}" type="presParOf" srcId="{4765FF4E-BC49-4A60-80D6-C7A9B1481BE7}" destId="{229096F4-E9FB-4F70-A6FE-F62D8FBA7D29}" srcOrd="0" destOrd="0" presId="urn:microsoft.com/office/officeart/2005/8/layout/orgChart1"/>
    <dgm:cxn modelId="{2436DCE7-43F5-4B3E-A800-76CE2C17CE14}" type="presParOf" srcId="{229096F4-E9FB-4F70-A6FE-F62D8FBA7D29}" destId="{B98357B7-64C1-4654-ACA3-4C89B569E685}" srcOrd="0" destOrd="0" presId="urn:microsoft.com/office/officeart/2005/8/layout/orgChart1"/>
    <dgm:cxn modelId="{DF2317FD-580B-4D7B-9A9B-098364A682CE}" type="presParOf" srcId="{229096F4-E9FB-4F70-A6FE-F62D8FBA7D29}" destId="{66168712-B088-4E91-A614-F6702EF169A3}" srcOrd="1" destOrd="0" presId="urn:microsoft.com/office/officeart/2005/8/layout/orgChart1"/>
    <dgm:cxn modelId="{362EC329-5BEA-42C6-A9A0-892B3673544E}" type="presParOf" srcId="{4765FF4E-BC49-4A60-80D6-C7A9B1481BE7}" destId="{0D4735E1-B42A-4AFE-A8F6-B04DB87D676E}" srcOrd="1" destOrd="0" presId="urn:microsoft.com/office/officeart/2005/8/layout/orgChart1"/>
    <dgm:cxn modelId="{A79E7940-7C96-4915-A80C-975570551A7A}" type="presParOf" srcId="{4765FF4E-BC49-4A60-80D6-C7A9B1481BE7}" destId="{6CE250AC-51B5-47BA-844C-488468DD2949}" srcOrd="2" destOrd="0" presId="urn:microsoft.com/office/officeart/2005/8/layout/orgChart1"/>
    <dgm:cxn modelId="{9C55B556-2B04-4CD2-92F3-A6AE4C56BEF8}" type="presParOf" srcId="{D1C8BD62-CC48-4E11-97C7-B5C426070A88}" destId="{536FA189-27F2-47BC-A238-A6CD1C5C56D3}" srcOrd="2" destOrd="0" presId="urn:microsoft.com/office/officeart/2005/8/layout/orgChart1"/>
    <dgm:cxn modelId="{EE2A35A8-AF1F-4ED2-A2B8-955E8B1324B0}" type="presParOf" srcId="{D1C8BD62-CC48-4E11-97C7-B5C426070A88}" destId="{246DF7FE-560E-48BB-994F-EC7B1462F783}" srcOrd="3" destOrd="0" presId="urn:microsoft.com/office/officeart/2005/8/layout/orgChart1"/>
    <dgm:cxn modelId="{B64E20DA-475A-49FE-96BE-8399B138935C}" type="presParOf" srcId="{246DF7FE-560E-48BB-994F-EC7B1462F783}" destId="{A3AE1C26-0F82-4CCE-8A9B-249AD5D822E6}" srcOrd="0" destOrd="0" presId="urn:microsoft.com/office/officeart/2005/8/layout/orgChart1"/>
    <dgm:cxn modelId="{0E1CFFC1-0F72-42AC-B922-97A8F0A22158}" type="presParOf" srcId="{A3AE1C26-0F82-4CCE-8A9B-249AD5D822E6}" destId="{44F81E7A-9FB2-4396-B431-979DDC5AF633}" srcOrd="0" destOrd="0" presId="urn:microsoft.com/office/officeart/2005/8/layout/orgChart1"/>
    <dgm:cxn modelId="{E924BEE2-39A7-471B-8EA4-095A8F5CD3F7}" type="presParOf" srcId="{A3AE1C26-0F82-4CCE-8A9B-249AD5D822E6}" destId="{590DEF46-3D3F-46B2-A10F-42EC166C4720}" srcOrd="1" destOrd="0" presId="urn:microsoft.com/office/officeart/2005/8/layout/orgChart1"/>
    <dgm:cxn modelId="{812138B4-1ABE-415D-BA51-1723D647A44A}" type="presParOf" srcId="{246DF7FE-560E-48BB-994F-EC7B1462F783}" destId="{75A574EE-0135-4482-9EB7-61E0C62AE434}" srcOrd="1" destOrd="0" presId="urn:microsoft.com/office/officeart/2005/8/layout/orgChart1"/>
    <dgm:cxn modelId="{5376EDE6-478A-4C98-A6CA-55BF4C2736EE}" type="presParOf" srcId="{246DF7FE-560E-48BB-994F-EC7B1462F783}" destId="{1BD57694-FC70-4F75-83BD-03B8360D6EF8}" srcOrd="2" destOrd="0" presId="urn:microsoft.com/office/officeart/2005/8/layout/orgChart1"/>
    <dgm:cxn modelId="{B149E5CB-5D71-4999-9D95-CD9475CD2DAC}" type="presParOf" srcId="{1E954B7A-84CD-4BFA-B759-7A854A989A17}" destId="{230D52F1-7FE7-4FF0-B9E8-D8E20210347F}" srcOrd="2" destOrd="0" presId="urn:microsoft.com/office/officeart/2005/8/layout/orgChart1"/>
    <dgm:cxn modelId="{72F34C84-4F81-4F5D-A988-3A725A643A40}" type="presParOf" srcId="{1467863A-81A5-422B-BB30-C0FA6213FEE5}" destId="{2E5007B0-5046-4A70-B22B-18F96EB77701}" srcOrd="6" destOrd="0" presId="urn:microsoft.com/office/officeart/2005/8/layout/orgChart1"/>
    <dgm:cxn modelId="{5E3B59A6-FE68-4425-9150-71C6F52DC286}" type="presParOf" srcId="{1467863A-81A5-422B-BB30-C0FA6213FEE5}" destId="{32F73749-6EDC-4614-AE29-B30BCDAA40F0}" srcOrd="7" destOrd="0" presId="urn:microsoft.com/office/officeart/2005/8/layout/orgChart1"/>
    <dgm:cxn modelId="{2AC98F9C-ECD4-45CC-B4ED-32CCE6C03B74}" type="presParOf" srcId="{32F73749-6EDC-4614-AE29-B30BCDAA40F0}" destId="{67819F15-F41D-4C6F-9E47-3D303C014E38}" srcOrd="0" destOrd="0" presId="urn:microsoft.com/office/officeart/2005/8/layout/orgChart1"/>
    <dgm:cxn modelId="{ABB065A7-5611-4598-8931-2C012EDE20E0}" type="presParOf" srcId="{67819F15-F41D-4C6F-9E47-3D303C014E38}" destId="{F349691F-9834-47D8-A870-2749D1E77037}" srcOrd="0" destOrd="0" presId="urn:microsoft.com/office/officeart/2005/8/layout/orgChart1"/>
    <dgm:cxn modelId="{C491CC5D-B2D4-41B6-842B-CBB86F5BC8B9}" type="presParOf" srcId="{67819F15-F41D-4C6F-9E47-3D303C014E38}" destId="{3CF5CEFB-100C-4BDD-B86D-6F11345154B5}" srcOrd="1" destOrd="0" presId="urn:microsoft.com/office/officeart/2005/8/layout/orgChart1"/>
    <dgm:cxn modelId="{99A3FDA2-A1A1-4824-8CCE-63A315C9067C}" type="presParOf" srcId="{32F73749-6EDC-4614-AE29-B30BCDAA40F0}" destId="{C52374D3-FA25-4727-B46B-2960EA833D6D}" srcOrd="1" destOrd="0" presId="urn:microsoft.com/office/officeart/2005/8/layout/orgChart1"/>
    <dgm:cxn modelId="{4A234B53-101F-4B80-98F1-42E105FE855A}" type="presParOf" srcId="{32F73749-6EDC-4614-AE29-B30BCDAA40F0}" destId="{2DA578BC-F99E-4A7B-8B27-1AD8CBA95762}" srcOrd="2" destOrd="0" presId="urn:microsoft.com/office/officeart/2005/8/layout/orgChart1"/>
    <dgm:cxn modelId="{B018A6FB-16D7-4343-B8FE-C09D93A87283}" type="presParOf" srcId="{1467863A-81A5-422B-BB30-C0FA6213FEE5}" destId="{5EED6CCF-5784-4C88-83DD-1FECF5709EA4}" srcOrd="8" destOrd="0" presId="urn:microsoft.com/office/officeart/2005/8/layout/orgChart1"/>
    <dgm:cxn modelId="{3D4AD492-9F7D-4FF7-98F6-9397C42EF654}" type="presParOf" srcId="{1467863A-81A5-422B-BB30-C0FA6213FEE5}" destId="{A3470253-CE90-4021-A6FD-E3D8A7FCF9D0}" srcOrd="9" destOrd="0" presId="urn:microsoft.com/office/officeart/2005/8/layout/orgChart1"/>
    <dgm:cxn modelId="{2258CBC5-EE49-4B65-AD00-D17E11FF046B}" type="presParOf" srcId="{A3470253-CE90-4021-A6FD-E3D8A7FCF9D0}" destId="{262B8CB3-84DF-49FD-B2BE-6B33D6FAB6DE}" srcOrd="0" destOrd="0" presId="urn:microsoft.com/office/officeart/2005/8/layout/orgChart1"/>
    <dgm:cxn modelId="{6CC854C2-EA77-44A9-846D-3CE75F646360}" type="presParOf" srcId="{262B8CB3-84DF-49FD-B2BE-6B33D6FAB6DE}" destId="{1B76F383-B7B4-4701-8BCF-7462FB7DC8BE}" srcOrd="0" destOrd="0" presId="urn:microsoft.com/office/officeart/2005/8/layout/orgChart1"/>
    <dgm:cxn modelId="{D3B0166B-EDE3-411D-8722-955AD176825E}" type="presParOf" srcId="{262B8CB3-84DF-49FD-B2BE-6B33D6FAB6DE}" destId="{2CC780BB-BF1F-41AD-842A-8E260D69C430}" srcOrd="1" destOrd="0" presId="urn:microsoft.com/office/officeart/2005/8/layout/orgChart1"/>
    <dgm:cxn modelId="{5CBCAF17-D35E-4C23-B0BC-B86CD37363D3}" type="presParOf" srcId="{A3470253-CE90-4021-A6FD-E3D8A7FCF9D0}" destId="{38FE5CBC-7DEA-4EA3-A352-47891EA8A422}" srcOrd="1" destOrd="0" presId="urn:microsoft.com/office/officeart/2005/8/layout/orgChart1"/>
    <dgm:cxn modelId="{4B53AC0F-AA13-4349-B70D-9BF57B42E242}" type="presParOf" srcId="{A3470253-CE90-4021-A6FD-E3D8A7FCF9D0}" destId="{2BC1D3D2-48D0-44FB-A612-6ABDB36EE8E3}" srcOrd="2" destOrd="0" presId="urn:microsoft.com/office/officeart/2005/8/layout/orgChart1"/>
    <dgm:cxn modelId="{B04277B7-D379-4D37-98AD-02921C4B8D98}" type="presParOf" srcId="{1467863A-81A5-422B-BB30-C0FA6213FEE5}" destId="{57FBC521-FD4A-4EDB-B4DC-1D1B3ABF4763}" srcOrd="10" destOrd="0" presId="urn:microsoft.com/office/officeart/2005/8/layout/orgChart1"/>
    <dgm:cxn modelId="{632F5FB4-A1DB-43E3-95BF-923B638C27BD}" type="presParOf" srcId="{1467863A-81A5-422B-BB30-C0FA6213FEE5}" destId="{4304B289-EDC1-4F2F-9193-647CBA70451C}" srcOrd="11" destOrd="0" presId="urn:microsoft.com/office/officeart/2005/8/layout/orgChart1"/>
    <dgm:cxn modelId="{8635C8A7-4F98-461E-AFA9-E09A0D31B2C6}" type="presParOf" srcId="{4304B289-EDC1-4F2F-9193-647CBA70451C}" destId="{706AF3D0-3D1E-46AE-BD08-91158917F9F3}" srcOrd="0" destOrd="0" presId="urn:microsoft.com/office/officeart/2005/8/layout/orgChart1"/>
    <dgm:cxn modelId="{D22103DD-F235-455F-B2C4-687924B83A45}" type="presParOf" srcId="{706AF3D0-3D1E-46AE-BD08-91158917F9F3}" destId="{4B7CA603-BFA2-4F5C-A47D-5B60F3E428BB}" srcOrd="0" destOrd="0" presId="urn:microsoft.com/office/officeart/2005/8/layout/orgChart1"/>
    <dgm:cxn modelId="{75991BBF-0B8A-4B5A-9157-E0B813C96D9F}" type="presParOf" srcId="{706AF3D0-3D1E-46AE-BD08-91158917F9F3}" destId="{7954F406-485A-4EB6-93FF-F0F6ABE009DD}" srcOrd="1" destOrd="0" presId="urn:microsoft.com/office/officeart/2005/8/layout/orgChart1"/>
    <dgm:cxn modelId="{0226317C-6C2B-4CF0-8844-B1088A468C7F}" type="presParOf" srcId="{4304B289-EDC1-4F2F-9193-647CBA70451C}" destId="{2FE8F2C1-A8BC-4AF4-A587-717422E1AE7D}" srcOrd="1" destOrd="0" presId="urn:microsoft.com/office/officeart/2005/8/layout/orgChart1"/>
    <dgm:cxn modelId="{7395CB40-E9E0-4976-BA9F-77AB183A5ED9}" type="presParOf" srcId="{4304B289-EDC1-4F2F-9193-647CBA70451C}" destId="{D65693B4-0B7D-4667-AC8E-C0EB5282E0D8}" srcOrd="2" destOrd="0" presId="urn:microsoft.com/office/officeart/2005/8/layout/orgChart1"/>
    <dgm:cxn modelId="{6230A2D9-29EE-41A3-B1B4-B880C66C7A9C}" type="presParOf" srcId="{1467863A-81A5-422B-BB30-C0FA6213FEE5}" destId="{C8FCFB90-142F-4553-BD47-97614D09E557}" srcOrd="12" destOrd="0" presId="urn:microsoft.com/office/officeart/2005/8/layout/orgChart1"/>
    <dgm:cxn modelId="{ECFA4753-3239-4FF4-9D2A-BD92050C7F52}" type="presParOf" srcId="{1467863A-81A5-422B-BB30-C0FA6213FEE5}" destId="{2983EAC5-3DF7-48A9-B049-AB5B45EADA71}" srcOrd="13" destOrd="0" presId="urn:microsoft.com/office/officeart/2005/8/layout/orgChart1"/>
    <dgm:cxn modelId="{8AC48A4B-E456-407F-86C9-696F6455C857}" type="presParOf" srcId="{2983EAC5-3DF7-48A9-B049-AB5B45EADA71}" destId="{D4B8D1C2-3702-4C5E-91DF-ED7748D4107E}" srcOrd="0" destOrd="0" presId="urn:microsoft.com/office/officeart/2005/8/layout/orgChart1"/>
    <dgm:cxn modelId="{B1CA7B8C-2F56-4A6A-AC6D-C102CA3B24D1}" type="presParOf" srcId="{D4B8D1C2-3702-4C5E-91DF-ED7748D4107E}" destId="{600EB0A5-A472-41AD-A7B3-09B8EE2C11F6}" srcOrd="0" destOrd="0" presId="urn:microsoft.com/office/officeart/2005/8/layout/orgChart1"/>
    <dgm:cxn modelId="{A0C4861B-D6ED-4912-AA0B-2BDF79E10254}" type="presParOf" srcId="{D4B8D1C2-3702-4C5E-91DF-ED7748D4107E}" destId="{191F4CB2-D324-4D2A-8A8B-45F0D300E771}" srcOrd="1" destOrd="0" presId="urn:microsoft.com/office/officeart/2005/8/layout/orgChart1"/>
    <dgm:cxn modelId="{82B27728-77CB-419D-BA5D-504971D06E97}" type="presParOf" srcId="{2983EAC5-3DF7-48A9-B049-AB5B45EADA71}" destId="{5B1A5F2F-A27E-49CA-AF83-5488FB685858}" srcOrd="1" destOrd="0" presId="urn:microsoft.com/office/officeart/2005/8/layout/orgChart1"/>
    <dgm:cxn modelId="{B6FC612E-D9FC-4FB1-A9DA-AE176F67C572}" type="presParOf" srcId="{2983EAC5-3DF7-48A9-B049-AB5B45EADA71}" destId="{304B1EC1-EC77-437E-B065-74DE07624D00}" srcOrd="2" destOrd="0" presId="urn:microsoft.com/office/officeart/2005/8/layout/orgChart1"/>
    <dgm:cxn modelId="{3382AC8E-1B30-49BC-95D7-A97F9EF569E0}" type="presParOf" srcId="{A62B3475-BBF2-4AD0-BE58-9F6AC1106186}" destId="{2E08DBA3-1E55-4658-9F97-7DD3187C553C}"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FCFB90-142F-4553-BD47-97614D09E557}">
      <dsp:nvSpPr>
        <dsp:cNvPr id="0" name=""/>
        <dsp:cNvSpPr/>
      </dsp:nvSpPr>
      <dsp:spPr>
        <a:xfrm>
          <a:off x="5336106" y="607590"/>
          <a:ext cx="1054849" cy="2684442"/>
        </a:xfrm>
        <a:custGeom>
          <a:avLst/>
          <a:gdLst/>
          <a:ahLst/>
          <a:cxnLst/>
          <a:rect l="0" t="0" r="0" b="0"/>
          <a:pathLst>
            <a:path>
              <a:moveTo>
                <a:pt x="0" y="0"/>
              </a:moveTo>
              <a:lnTo>
                <a:pt x="0" y="2563908"/>
              </a:lnTo>
              <a:lnTo>
                <a:pt x="1054849" y="2563908"/>
              </a:lnTo>
              <a:lnTo>
                <a:pt x="1054849" y="2684442"/>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FBC521-FD4A-4EDB-B4DC-1D1B3ABF4763}">
      <dsp:nvSpPr>
        <dsp:cNvPr id="0" name=""/>
        <dsp:cNvSpPr/>
      </dsp:nvSpPr>
      <dsp:spPr>
        <a:xfrm>
          <a:off x="5336106" y="607590"/>
          <a:ext cx="1067178" cy="1831278"/>
        </a:xfrm>
        <a:custGeom>
          <a:avLst/>
          <a:gdLst/>
          <a:ahLst/>
          <a:cxnLst/>
          <a:rect l="0" t="0" r="0" b="0"/>
          <a:pathLst>
            <a:path>
              <a:moveTo>
                <a:pt x="0" y="0"/>
              </a:moveTo>
              <a:lnTo>
                <a:pt x="0" y="1710745"/>
              </a:lnTo>
              <a:lnTo>
                <a:pt x="1067178" y="1710745"/>
              </a:lnTo>
              <a:lnTo>
                <a:pt x="1067178" y="1831278"/>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ED6CCF-5784-4C88-83DD-1FECF5709EA4}">
      <dsp:nvSpPr>
        <dsp:cNvPr id="0" name=""/>
        <dsp:cNvSpPr/>
      </dsp:nvSpPr>
      <dsp:spPr>
        <a:xfrm>
          <a:off x="5336106" y="607590"/>
          <a:ext cx="1059900" cy="1053334"/>
        </a:xfrm>
        <a:custGeom>
          <a:avLst/>
          <a:gdLst/>
          <a:ahLst/>
          <a:cxnLst/>
          <a:rect l="0" t="0" r="0" b="0"/>
          <a:pathLst>
            <a:path>
              <a:moveTo>
                <a:pt x="0" y="0"/>
              </a:moveTo>
              <a:lnTo>
                <a:pt x="0" y="932801"/>
              </a:lnTo>
              <a:lnTo>
                <a:pt x="1059900" y="932801"/>
              </a:lnTo>
              <a:lnTo>
                <a:pt x="1059900" y="1053334"/>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5007B0-5046-4A70-B22B-18F96EB77701}">
      <dsp:nvSpPr>
        <dsp:cNvPr id="0" name=""/>
        <dsp:cNvSpPr/>
      </dsp:nvSpPr>
      <dsp:spPr>
        <a:xfrm>
          <a:off x="5336106" y="607590"/>
          <a:ext cx="1085224" cy="230488"/>
        </a:xfrm>
        <a:custGeom>
          <a:avLst/>
          <a:gdLst/>
          <a:ahLst/>
          <a:cxnLst/>
          <a:rect l="0" t="0" r="0" b="0"/>
          <a:pathLst>
            <a:path>
              <a:moveTo>
                <a:pt x="0" y="0"/>
              </a:moveTo>
              <a:lnTo>
                <a:pt x="0" y="109955"/>
              </a:lnTo>
              <a:lnTo>
                <a:pt x="1085224" y="109955"/>
              </a:lnTo>
              <a:lnTo>
                <a:pt x="1085224" y="230488"/>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6FA189-27F2-47BC-A238-A6CD1C5C56D3}">
      <dsp:nvSpPr>
        <dsp:cNvPr id="0" name=""/>
        <dsp:cNvSpPr/>
      </dsp:nvSpPr>
      <dsp:spPr>
        <a:xfrm>
          <a:off x="3487929" y="1422624"/>
          <a:ext cx="172190" cy="1343084"/>
        </a:xfrm>
        <a:custGeom>
          <a:avLst/>
          <a:gdLst/>
          <a:ahLst/>
          <a:cxnLst/>
          <a:rect l="0" t="0" r="0" b="0"/>
          <a:pathLst>
            <a:path>
              <a:moveTo>
                <a:pt x="0" y="0"/>
              </a:moveTo>
              <a:lnTo>
                <a:pt x="0" y="1343084"/>
              </a:lnTo>
              <a:lnTo>
                <a:pt x="172190" y="1343084"/>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F4FCDC-8977-4D39-B88E-AE67FA2D4EF8}">
      <dsp:nvSpPr>
        <dsp:cNvPr id="0" name=""/>
        <dsp:cNvSpPr/>
      </dsp:nvSpPr>
      <dsp:spPr>
        <a:xfrm>
          <a:off x="3487929" y="1422624"/>
          <a:ext cx="172190" cy="528050"/>
        </a:xfrm>
        <a:custGeom>
          <a:avLst/>
          <a:gdLst/>
          <a:ahLst/>
          <a:cxnLst/>
          <a:rect l="0" t="0" r="0" b="0"/>
          <a:pathLst>
            <a:path>
              <a:moveTo>
                <a:pt x="0" y="0"/>
              </a:moveTo>
              <a:lnTo>
                <a:pt x="0" y="528050"/>
              </a:lnTo>
              <a:lnTo>
                <a:pt x="172190" y="528050"/>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41F750-EB73-4D97-80FE-931BCBB45552}">
      <dsp:nvSpPr>
        <dsp:cNvPr id="0" name=""/>
        <dsp:cNvSpPr/>
      </dsp:nvSpPr>
      <dsp:spPr>
        <a:xfrm>
          <a:off x="3947104" y="607590"/>
          <a:ext cx="1389002" cy="241066"/>
        </a:xfrm>
        <a:custGeom>
          <a:avLst/>
          <a:gdLst/>
          <a:ahLst/>
          <a:cxnLst/>
          <a:rect l="0" t="0" r="0" b="0"/>
          <a:pathLst>
            <a:path>
              <a:moveTo>
                <a:pt x="1389002" y="0"/>
              </a:moveTo>
              <a:lnTo>
                <a:pt x="1389002" y="120533"/>
              </a:lnTo>
              <a:lnTo>
                <a:pt x="0" y="120533"/>
              </a:lnTo>
              <a:lnTo>
                <a:pt x="0" y="241066"/>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647EEC5-41C2-462B-B58F-04A4D6ADF2AB}">
      <dsp:nvSpPr>
        <dsp:cNvPr id="0" name=""/>
        <dsp:cNvSpPr/>
      </dsp:nvSpPr>
      <dsp:spPr>
        <a:xfrm>
          <a:off x="2098927" y="1422624"/>
          <a:ext cx="172190" cy="2158119"/>
        </a:xfrm>
        <a:custGeom>
          <a:avLst/>
          <a:gdLst/>
          <a:ahLst/>
          <a:cxnLst/>
          <a:rect l="0" t="0" r="0" b="0"/>
          <a:pathLst>
            <a:path>
              <a:moveTo>
                <a:pt x="0" y="0"/>
              </a:moveTo>
              <a:lnTo>
                <a:pt x="0" y="2158119"/>
              </a:lnTo>
              <a:lnTo>
                <a:pt x="172190" y="2158119"/>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E1290A-8F51-421B-9A1F-08A1922D09CE}">
      <dsp:nvSpPr>
        <dsp:cNvPr id="0" name=""/>
        <dsp:cNvSpPr/>
      </dsp:nvSpPr>
      <dsp:spPr>
        <a:xfrm>
          <a:off x="2098927" y="1422624"/>
          <a:ext cx="172190" cy="1343084"/>
        </a:xfrm>
        <a:custGeom>
          <a:avLst/>
          <a:gdLst/>
          <a:ahLst/>
          <a:cxnLst/>
          <a:rect l="0" t="0" r="0" b="0"/>
          <a:pathLst>
            <a:path>
              <a:moveTo>
                <a:pt x="0" y="0"/>
              </a:moveTo>
              <a:lnTo>
                <a:pt x="0" y="1343084"/>
              </a:lnTo>
              <a:lnTo>
                <a:pt x="172190" y="1343084"/>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993E55-1160-4D57-961F-4A3DAD77E402}">
      <dsp:nvSpPr>
        <dsp:cNvPr id="0" name=""/>
        <dsp:cNvSpPr/>
      </dsp:nvSpPr>
      <dsp:spPr>
        <a:xfrm>
          <a:off x="2098927" y="1422624"/>
          <a:ext cx="172190" cy="528050"/>
        </a:xfrm>
        <a:custGeom>
          <a:avLst/>
          <a:gdLst/>
          <a:ahLst/>
          <a:cxnLst/>
          <a:rect l="0" t="0" r="0" b="0"/>
          <a:pathLst>
            <a:path>
              <a:moveTo>
                <a:pt x="0" y="0"/>
              </a:moveTo>
              <a:lnTo>
                <a:pt x="0" y="528050"/>
              </a:lnTo>
              <a:lnTo>
                <a:pt x="172190" y="528050"/>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F8D9886-16F6-40F7-AA94-6D479C084E19}">
      <dsp:nvSpPr>
        <dsp:cNvPr id="0" name=""/>
        <dsp:cNvSpPr/>
      </dsp:nvSpPr>
      <dsp:spPr>
        <a:xfrm>
          <a:off x="2558101" y="607590"/>
          <a:ext cx="2778004" cy="241066"/>
        </a:xfrm>
        <a:custGeom>
          <a:avLst/>
          <a:gdLst/>
          <a:ahLst/>
          <a:cxnLst/>
          <a:rect l="0" t="0" r="0" b="0"/>
          <a:pathLst>
            <a:path>
              <a:moveTo>
                <a:pt x="2778004" y="0"/>
              </a:moveTo>
              <a:lnTo>
                <a:pt x="2778004" y="120533"/>
              </a:lnTo>
              <a:lnTo>
                <a:pt x="0" y="120533"/>
              </a:lnTo>
              <a:lnTo>
                <a:pt x="0" y="241066"/>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427118-0D3B-4216-9720-41E41E352646}">
      <dsp:nvSpPr>
        <dsp:cNvPr id="0" name=""/>
        <dsp:cNvSpPr/>
      </dsp:nvSpPr>
      <dsp:spPr>
        <a:xfrm>
          <a:off x="433984" y="1432141"/>
          <a:ext cx="448131" cy="1333568"/>
        </a:xfrm>
        <a:custGeom>
          <a:avLst/>
          <a:gdLst/>
          <a:ahLst/>
          <a:cxnLst/>
          <a:rect l="0" t="0" r="0" b="0"/>
          <a:pathLst>
            <a:path>
              <a:moveTo>
                <a:pt x="0" y="0"/>
              </a:moveTo>
              <a:lnTo>
                <a:pt x="0" y="1333568"/>
              </a:lnTo>
              <a:lnTo>
                <a:pt x="448131" y="1333568"/>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363247-8BCF-4D7E-9E97-3568F6FD8ADA}">
      <dsp:nvSpPr>
        <dsp:cNvPr id="0" name=""/>
        <dsp:cNvSpPr/>
      </dsp:nvSpPr>
      <dsp:spPr>
        <a:xfrm>
          <a:off x="433984" y="1432141"/>
          <a:ext cx="448131" cy="518534"/>
        </a:xfrm>
        <a:custGeom>
          <a:avLst/>
          <a:gdLst/>
          <a:ahLst/>
          <a:cxnLst/>
          <a:rect l="0" t="0" r="0" b="0"/>
          <a:pathLst>
            <a:path>
              <a:moveTo>
                <a:pt x="0" y="0"/>
              </a:moveTo>
              <a:lnTo>
                <a:pt x="0" y="518534"/>
              </a:lnTo>
              <a:lnTo>
                <a:pt x="448131" y="518534"/>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83312B-2803-41F6-A913-2E6E0E12097D}">
      <dsp:nvSpPr>
        <dsp:cNvPr id="0" name=""/>
        <dsp:cNvSpPr/>
      </dsp:nvSpPr>
      <dsp:spPr>
        <a:xfrm>
          <a:off x="893158" y="607590"/>
          <a:ext cx="4442947" cy="250582"/>
        </a:xfrm>
        <a:custGeom>
          <a:avLst/>
          <a:gdLst/>
          <a:ahLst/>
          <a:cxnLst/>
          <a:rect l="0" t="0" r="0" b="0"/>
          <a:pathLst>
            <a:path>
              <a:moveTo>
                <a:pt x="4442947" y="0"/>
              </a:moveTo>
              <a:lnTo>
                <a:pt x="4442947" y="130049"/>
              </a:lnTo>
              <a:lnTo>
                <a:pt x="0" y="130049"/>
              </a:lnTo>
              <a:lnTo>
                <a:pt x="0" y="250582"/>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08D443-3EB3-4BA7-A9AE-66751BAE263C}">
      <dsp:nvSpPr>
        <dsp:cNvPr id="0" name=""/>
        <dsp:cNvSpPr/>
      </dsp:nvSpPr>
      <dsp:spPr>
        <a:xfrm>
          <a:off x="4762138" y="33622"/>
          <a:ext cx="1147935" cy="573967"/>
        </a:xfrm>
        <a:prstGeom prst="rect">
          <a:avLst/>
        </a:prstGeom>
        <a:gradFill rotWithShape="0">
          <a:gsLst>
            <a:gs pos="0">
              <a:schemeClr val="accent1">
                <a:alpha val="80000"/>
                <a:hueOff val="0"/>
                <a:satOff val="0"/>
                <a:lumOff val="0"/>
                <a:alphaOff val="0"/>
                <a:tint val="50000"/>
                <a:satMod val="300000"/>
              </a:schemeClr>
            </a:gs>
            <a:gs pos="35000">
              <a:schemeClr val="accent1">
                <a:alpha val="80000"/>
                <a:hueOff val="0"/>
                <a:satOff val="0"/>
                <a:lumOff val="0"/>
                <a:alphaOff val="0"/>
                <a:tint val="37000"/>
                <a:satMod val="300000"/>
              </a:schemeClr>
            </a:gs>
            <a:gs pos="100000">
              <a:schemeClr val="accent1">
                <a:alpha val="8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b="1" kern="1200"/>
            <a:t>DIREKTORS</a:t>
          </a:r>
        </a:p>
      </dsp:txBody>
      <dsp:txXfrm>
        <a:off x="4762138" y="33622"/>
        <a:ext cx="1147935" cy="573967"/>
      </dsp:txXfrm>
    </dsp:sp>
    <dsp:sp modelId="{F64565BC-95D3-4F0D-A921-C96B506AC33D}">
      <dsp:nvSpPr>
        <dsp:cNvPr id="0" name=""/>
        <dsp:cNvSpPr/>
      </dsp:nvSpPr>
      <dsp:spPr>
        <a:xfrm>
          <a:off x="319190" y="858173"/>
          <a:ext cx="1147935" cy="573967"/>
        </a:xfrm>
        <a:prstGeom prst="rect">
          <a:avLst/>
        </a:prstGeom>
        <a:gradFill rotWithShape="0">
          <a:gsLst>
            <a:gs pos="0">
              <a:schemeClr val="accent1">
                <a:alpha val="70000"/>
                <a:hueOff val="0"/>
                <a:satOff val="0"/>
                <a:lumOff val="0"/>
                <a:alphaOff val="0"/>
                <a:tint val="50000"/>
                <a:satMod val="300000"/>
              </a:schemeClr>
            </a:gs>
            <a:gs pos="35000">
              <a:schemeClr val="accent1">
                <a:alpha val="70000"/>
                <a:hueOff val="0"/>
                <a:satOff val="0"/>
                <a:lumOff val="0"/>
                <a:alphaOff val="0"/>
                <a:tint val="37000"/>
                <a:satMod val="300000"/>
              </a:schemeClr>
            </a:gs>
            <a:gs pos="100000">
              <a:schemeClr val="accent1">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t>Direktora vietnieks,</a:t>
          </a:r>
        </a:p>
        <a:p>
          <a:pPr lvl="0" algn="ctr" defTabSz="355600">
            <a:lnSpc>
              <a:spcPct val="90000"/>
            </a:lnSpc>
            <a:spcBef>
              <a:spcPct val="0"/>
            </a:spcBef>
            <a:spcAft>
              <a:spcPct val="35000"/>
            </a:spcAft>
          </a:pPr>
          <a:r>
            <a:rPr lang="lv-LV" sz="800" kern="1200"/>
            <a:t>Plānošanas, analīzes </a:t>
          </a:r>
        </a:p>
        <a:p>
          <a:pPr lvl="0" algn="ctr" defTabSz="355600">
            <a:lnSpc>
              <a:spcPct val="90000"/>
            </a:lnSpc>
            <a:spcBef>
              <a:spcPct val="0"/>
            </a:spcBef>
            <a:spcAft>
              <a:spcPct val="35000"/>
            </a:spcAft>
          </a:pPr>
          <a:r>
            <a:rPr lang="lv-LV" sz="800" kern="1200"/>
            <a:t>un kontroles departaments</a:t>
          </a:r>
        </a:p>
      </dsp:txBody>
      <dsp:txXfrm>
        <a:off x="319190" y="858173"/>
        <a:ext cx="1147935" cy="573967"/>
      </dsp:txXfrm>
    </dsp:sp>
    <dsp:sp modelId="{DCE56066-85B6-41F2-BA2E-42038C7C8085}">
      <dsp:nvSpPr>
        <dsp:cNvPr id="0" name=""/>
        <dsp:cNvSpPr/>
      </dsp:nvSpPr>
      <dsp:spPr>
        <a:xfrm>
          <a:off x="882115" y="1663691"/>
          <a:ext cx="1147935" cy="573967"/>
        </a:xfrm>
        <a:prstGeom prst="rect">
          <a:avLst/>
        </a:prstGeom>
        <a:gradFill rotWithShape="0">
          <a:gsLst>
            <a:gs pos="0">
              <a:schemeClr val="accent1">
                <a:alpha val="50000"/>
                <a:hueOff val="0"/>
                <a:satOff val="0"/>
                <a:lumOff val="0"/>
                <a:alphaOff val="0"/>
                <a:tint val="50000"/>
                <a:satMod val="300000"/>
              </a:schemeClr>
            </a:gs>
            <a:gs pos="35000">
              <a:schemeClr val="accent1">
                <a:alpha val="50000"/>
                <a:hueOff val="0"/>
                <a:satOff val="0"/>
                <a:lumOff val="0"/>
                <a:alphaOff val="0"/>
                <a:tint val="37000"/>
                <a:satMod val="300000"/>
              </a:schemeClr>
            </a:gs>
            <a:gs pos="100000">
              <a:schemeClr val="accent1">
                <a:alpha val="5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t>Grāmatvedības un darba algu daļa</a:t>
          </a:r>
        </a:p>
      </dsp:txBody>
      <dsp:txXfrm>
        <a:off x="882115" y="1663691"/>
        <a:ext cx="1147935" cy="573967"/>
      </dsp:txXfrm>
    </dsp:sp>
    <dsp:sp modelId="{CCE66C66-B16A-4916-84FC-B72268AF55F8}">
      <dsp:nvSpPr>
        <dsp:cNvPr id="0" name=""/>
        <dsp:cNvSpPr/>
      </dsp:nvSpPr>
      <dsp:spPr>
        <a:xfrm>
          <a:off x="882115" y="2478725"/>
          <a:ext cx="1147935" cy="573967"/>
        </a:xfrm>
        <a:prstGeom prst="rect">
          <a:avLst/>
        </a:prstGeom>
        <a:gradFill rotWithShape="0">
          <a:gsLst>
            <a:gs pos="0">
              <a:schemeClr val="accent1">
                <a:alpha val="50000"/>
                <a:hueOff val="0"/>
                <a:satOff val="0"/>
                <a:lumOff val="0"/>
                <a:alphaOff val="0"/>
                <a:tint val="50000"/>
                <a:satMod val="300000"/>
              </a:schemeClr>
            </a:gs>
            <a:gs pos="35000">
              <a:schemeClr val="accent1">
                <a:alpha val="50000"/>
                <a:hueOff val="0"/>
                <a:satOff val="0"/>
                <a:lumOff val="0"/>
                <a:alphaOff val="0"/>
                <a:tint val="37000"/>
                <a:satMod val="300000"/>
              </a:schemeClr>
            </a:gs>
            <a:gs pos="100000">
              <a:schemeClr val="accent1">
                <a:alpha val="5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t>Administratīvais </a:t>
          </a:r>
        </a:p>
        <a:p>
          <a:pPr lvl="0" algn="ctr" defTabSz="355600">
            <a:lnSpc>
              <a:spcPct val="90000"/>
            </a:lnSpc>
            <a:spcBef>
              <a:spcPct val="0"/>
            </a:spcBef>
            <a:spcAft>
              <a:spcPct val="35000"/>
            </a:spcAft>
          </a:pPr>
          <a:r>
            <a:rPr lang="lv-LV" sz="800" kern="1200"/>
            <a:t>sektors</a:t>
          </a:r>
        </a:p>
      </dsp:txBody>
      <dsp:txXfrm>
        <a:off x="882115" y="2478725"/>
        <a:ext cx="1147935" cy="573967"/>
      </dsp:txXfrm>
    </dsp:sp>
    <dsp:sp modelId="{30650CEB-A118-49A7-A123-94A8C57FA2EC}">
      <dsp:nvSpPr>
        <dsp:cNvPr id="0" name=""/>
        <dsp:cNvSpPr/>
      </dsp:nvSpPr>
      <dsp:spPr>
        <a:xfrm>
          <a:off x="1984133" y="848657"/>
          <a:ext cx="1147935" cy="573967"/>
        </a:xfrm>
        <a:prstGeom prst="rect">
          <a:avLst/>
        </a:prstGeom>
        <a:gradFill rotWithShape="0">
          <a:gsLst>
            <a:gs pos="0">
              <a:schemeClr val="accent1">
                <a:alpha val="70000"/>
                <a:hueOff val="0"/>
                <a:satOff val="0"/>
                <a:lumOff val="0"/>
                <a:alphaOff val="0"/>
                <a:tint val="50000"/>
                <a:satMod val="300000"/>
              </a:schemeClr>
            </a:gs>
            <a:gs pos="35000">
              <a:schemeClr val="accent1">
                <a:alpha val="70000"/>
                <a:hueOff val="0"/>
                <a:satOff val="0"/>
                <a:lumOff val="0"/>
                <a:alphaOff val="0"/>
                <a:tint val="37000"/>
                <a:satMod val="300000"/>
              </a:schemeClr>
            </a:gs>
            <a:gs pos="100000">
              <a:schemeClr val="accent1">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t>Direktora vietnieks,</a:t>
          </a:r>
        </a:p>
        <a:p>
          <a:pPr lvl="0" algn="ctr" defTabSz="355600">
            <a:lnSpc>
              <a:spcPct val="90000"/>
            </a:lnSpc>
            <a:spcBef>
              <a:spcPct val="0"/>
            </a:spcBef>
            <a:spcAft>
              <a:spcPct val="35000"/>
            </a:spcAft>
          </a:pPr>
          <a:r>
            <a:rPr lang="lv-LV" sz="800" kern="1200"/>
            <a:t>Patērētāju tiesību uzraudzības departaments</a:t>
          </a:r>
        </a:p>
      </dsp:txBody>
      <dsp:txXfrm>
        <a:off x="1984133" y="848657"/>
        <a:ext cx="1147935" cy="573967"/>
      </dsp:txXfrm>
    </dsp:sp>
    <dsp:sp modelId="{91DD423E-D2DF-4A59-831F-AB0F0B81C01C}">
      <dsp:nvSpPr>
        <dsp:cNvPr id="0" name=""/>
        <dsp:cNvSpPr/>
      </dsp:nvSpPr>
      <dsp:spPr>
        <a:xfrm>
          <a:off x="2271117" y="1663691"/>
          <a:ext cx="1147935" cy="573967"/>
        </a:xfrm>
        <a:prstGeom prst="rect">
          <a:avLst/>
        </a:prstGeom>
        <a:gradFill rotWithShape="0">
          <a:gsLst>
            <a:gs pos="0">
              <a:schemeClr val="accent1">
                <a:alpha val="50000"/>
                <a:hueOff val="0"/>
                <a:satOff val="0"/>
                <a:lumOff val="0"/>
                <a:alphaOff val="0"/>
                <a:tint val="50000"/>
                <a:satMod val="300000"/>
              </a:schemeClr>
            </a:gs>
            <a:gs pos="35000">
              <a:schemeClr val="accent1">
                <a:alpha val="50000"/>
                <a:hueOff val="0"/>
                <a:satOff val="0"/>
                <a:lumOff val="0"/>
                <a:alphaOff val="0"/>
                <a:tint val="37000"/>
                <a:satMod val="300000"/>
              </a:schemeClr>
            </a:gs>
            <a:gs pos="100000">
              <a:schemeClr val="accent1">
                <a:alpha val="5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t>Pirmā patērētāju kolektīvo interešu uzraudzības daļa</a:t>
          </a:r>
        </a:p>
      </dsp:txBody>
      <dsp:txXfrm>
        <a:off x="2271117" y="1663691"/>
        <a:ext cx="1147935" cy="573967"/>
      </dsp:txXfrm>
    </dsp:sp>
    <dsp:sp modelId="{35406666-01EC-4EB1-9818-BABF47FE4ACA}">
      <dsp:nvSpPr>
        <dsp:cNvPr id="0" name=""/>
        <dsp:cNvSpPr/>
      </dsp:nvSpPr>
      <dsp:spPr>
        <a:xfrm>
          <a:off x="2271117" y="2478725"/>
          <a:ext cx="1147935" cy="573967"/>
        </a:xfrm>
        <a:prstGeom prst="rect">
          <a:avLst/>
        </a:prstGeom>
        <a:gradFill rotWithShape="0">
          <a:gsLst>
            <a:gs pos="0">
              <a:schemeClr val="accent1">
                <a:alpha val="50000"/>
                <a:hueOff val="0"/>
                <a:satOff val="0"/>
                <a:lumOff val="0"/>
                <a:alphaOff val="0"/>
                <a:tint val="50000"/>
                <a:satMod val="300000"/>
              </a:schemeClr>
            </a:gs>
            <a:gs pos="35000">
              <a:schemeClr val="accent1">
                <a:alpha val="50000"/>
                <a:hueOff val="0"/>
                <a:satOff val="0"/>
                <a:lumOff val="0"/>
                <a:alphaOff val="0"/>
                <a:tint val="37000"/>
                <a:satMod val="300000"/>
              </a:schemeClr>
            </a:gs>
            <a:gs pos="100000">
              <a:schemeClr val="accent1">
                <a:alpha val="5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t>Otrā patērētāju kolektīvo interešu uzraudzības daļa</a:t>
          </a:r>
        </a:p>
      </dsp:txBody>
      <dsp:txXfrm>
        <a:off x="2271117" y="2478725"/>
        <a:ext cx="1147935" cy="573967"/>
      </dsp:txXfrm>
    </dsp:sp>
    <dsp:sp modelId="{9EA90A1C-D3D2-482E-9D7A-E272F0535AA6}">
      <dsp:nvSpPr>
        <dsp:cNvPr id="0" name=""/>
        <dsp:cNvSpPr/>
      </dsp:nvSpPr>
      <dsp:spPr>
        <a:xfrm>
          <a:off x="2271117" y="3293760"/>
          <a:ext cx="1147935" cy="573967"/>
        </a:xfrm>
        <a:prstGeom prst="rect">
          <a:avLst/>
        </a:prstGeom>
        <a:gradFill rotWithShape="0">
          <a:gsLst>
            <a:gs pos="0">
              <a:schemeClr val="accent1">
                <a:alpha val="50000"/>
                <a:hueOff val="0"/>
                <a:satOff val="0"/>
                <a:lumOff val="0"/>
                <a:alphaOff val="0"/>
                <a:tint val="50000"/>
                <a:satMod val="300000"/>
              </a:schemeClr>
            </a:gs>
            <a:gs pos="35000">
              <a:schemeClr val="accent1">
                <a:alpha val="50000"/>
                <a:hueOff val="0"/>
                <a:satOff val="0"/>
                <a:lumOff val="0"/>
                <a:alphaOff val="0"/>
                <a:tint val="37000"/>
                <a:satMod val="300000"/>
              </a:schemeClr>
            </a:gs>
            <a:gs pos="100000">
              <a:schemeClr val="accent1">
                <a:alpha val="5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t>Finanšu pakalpojumu uzraudzības daļa</a:t>
          </a:r>
        </a:p>
      </dsp:txBody>
      <dsp:txXfrm>
        <a:off x="2271117" y="3293760"/>
        <a:ext cx="1147935" cy="573967"/>
      </dsp:txXfrm>
    </dsp:sp>
    <dsp:sp modelId="{7F51D661-B8B2-46FC-A9BF-11643DD68FB0}">
      <dsp:nvSpPr>
        <dsp:cNvPr id="0" name=""/>
        <dsp:cNvSpPr/>
      </dsp:nvSpPr>
      <dsp:spPr>
        <a:xfrm>
          <a:off x="3373136" y="848657"/>
          <a:ext cx="1147935" cy="573967"/>
        </a:xfrm>
        <a:prstGeom prst="rect">
          <a:avLst/>
        </a:prstGeom>
        <a:gradFill rotWithShape="0">
          <a:gsLst>
            <a:gs pos="0">
              <a:schemeClr val="accent1">
                <a:alpha val="70000"/>
                <a:hueOff val="0"/>
                <a:satOff val="0"/>
                <a:lumOff val="0"/>
                <a:alphaOff val="0"/>
                <a:tint val="50000"/>
                <a:satMod val="300000"/>
              </a:schemeClr>
            </a:gs>
            <a:gs pos="35000">
              <a:schemeClr val="accent1">
                <a:alpha val="70000"/>
                <a:hueOff val="0"/>
                <a:satOff val="0"/>
                <a:lumOff val="0"/>
                <a:alphaOff val="0"/>
                <a:tint val="37000"/>
                <a:satMod val="300000"/>
              </a:schemeClr>
            </a:gs>
            <a:gs pos="100000">
              <a:schemeClr val="accent1">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t>Direktora vietnieks,</a:t>
          </a:r>
        </a:p>
        <a:p>
          <a:pPr lvl="0" algn="ctr" defTabSz="355600">
            <a:lnSpc>
              <a:spcPct val="90000"/>
            </a:lnSpc>
            <a:spcBef>
              <a:spcPct val="0"/>
            </a:spcBef>
            <a:spcAft>
              <a:spcPct val="35000"/>
            </a:spcAft>
          </a:pPr>
          <a:r>
            <a:rPr lang="lv-LV" sz="800" kern="1200"/>
            <a:t>Preču un pakalpojumu uzraudzības departaments </a:t>
          </a:r>
        </a:p>
      </dsp:txBody>
      <dsp:txXfrm>
        <a:off x="3373136" y="848657"/>
        <a:ext cx="1147935" cy="573967"/>
      </dsp:txXfrm>
    </dsp:sp>
    <dsp:sp modelId="{B98357B7-64C1-4654-ACA3-4C89B569E685}">
      <dsp:nvSpPr>
        <dsp:cNvPr id="0" name=""/>
        <dsp:cNvSpPr/>
      </dsp:nvSpPr>
      <dsp:spPr>
        <a:xfrm>
          <a:off x="3660120" y="1663691"/>
          <a:ext cx="1147935" cy="573967"/>
        </a:xfrm>
        <a:prstGeom prst="rect">
          <a:avLst/>
        </a:prstGeom>
        <a:gradFill rotWithShape="0">
          <a:gsLst>
            <a:gs pos="0">
              <a:schemeClr val="accent1">
                <a:alpha val="50000"/>
                <a:hueOff val="0"/>
                <a:satOff val="0"/>
                <a:lumOff val="0"/>
                <a:alphaOff val="0"/>
                <a:tint val="50000"/>
                <a:satMod val="300000"/>
              </a:schemeClr>
            </a:gs>
            <a:gs pos="35000">
              <a:schemeClr val="accent1">
                <a:alpha val="50000"/>
                <a:hueOff val="0"/>
                <a:satOff val="0"/>
                <a:lumOff val="0"/>
                <a:alphaOff val="0"/>
                <a:tint val="37000"/>
                <a:satMod val="300000"/>
              </a:schemeClr>
            </a:gs>
            <a:gs pos="100000">
              <a:schemeClr val="accent1">
                <a:alpha val="5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t>Patēriņa preču </a:t>
          </a:r>
        </a:p>
        <a:p>
          <a:pPr lvl="0" algn="ctr" defTabSz="355600">
            <a:lnSpc>
              <a:spcPct val="90000"/>
            </a:lnSpc>
            <a:spcBef>
              <a:spcPct val="0"/>
            </a:spcBef>
            <a:spcAft>
              <a:spcPct val="35000"/>
            </a:spcAft>
          </a:pPr>
          <a:r>
            <a:rPr lang="lv-LV" sz="800" kern="1200"/>
            <a:t>uzraudzības daļa</a:t>
          </a:r>
        </a:p>
      </dsp:txBody>
      <dsp:txXfrm>
        <a:off x="3660120" y="1663691"/>
        <a:ext cx="1147935" cy="573967"/>
      </dsp:txXfrm>
    </dsp:sp>
    <dsp:sp modelId="{44F81E7A-9FB2-4396-B431-979DDC5AF633}">
      <dsp:nvSpPr>
        <dsp:cNvPr id="0" name=""/>
        <dsp:cNvSpPr/>
      </dsp:nvSpPr>
      <dsp:spPr>
        <a:xfrm>
          <a:off x="3660120" y="2478725"/>
          <a:ext cx="1147935" cy="573967"/>
        </a:xfrm>
        <a:prstGeom prst="rect">
          <a:avLst/>
        </a:prstGeom>
        <a:gradFill rotWithShape="0">
          <a:gsLst>
            <a:gs pos="0">
              <a:schemeClr val="accent1">
                <a:alpha val="50000"/>
                <a:hueOff val="0"/>
                <a:satOff val="0"/>
                <a:lumOff val="0"/>
                <a:alphaOff val="0"/>
                <a:tint val="50000"/>
                <a:satMod val="300000"/>
              </a:schemeClr>
            </a:gs>
            <a:gs pos="35000">
              <a:schemeClr val="accent1">
                <a:alpha val="50000"/>
                <a:hueOff val="0"/>
                <a:satOff val="0"/>
                <a:lumOff val="0"/>
                <a:alphaOff val="0"/>
                <a:tint val="37000"/>
                <a:satMod val="300000"/>
              </a:schemeClr>
            </a:gs>
            <a:gs pos="100000">
              <a:schemeClr val="accent1">
                <a:alpha val="5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t>Tehniskās un </a:t>
          </a:r>
        </a:p>
        <a:p>
          <a:pPr lvl="0" algn="ctr" defTabSz="355600">
            <a:lnSpc>
              <a:spcPct val="90000"/>
            </a:lnSpc>
            <a:spcBef>
              <a:spcPct val="0"/>
            </a:spcBef>
            <a:spcAft>
              <a:spcPct val="35000"/>
            </a:spcAft>
          </a:pPr>
          <a:r>
            <a:rPr lang="lv-LV" sz="800" kern="1200"/>
            <a:t>metroloģiskās </a:t>
          </a:r>
        </a:p>
        <a:p>
          <a:pPr lvl="0" algn="ctr" defTabSz="355600">
            <a:lnSpc>
              <a:spcPct val="90000"/>
            </a:lnSpc>
            <a:spcBef>
              <a:spcPct val="0"/>
            </a:spcBef>
            <a:spcAft>
              <a:spcPct val="35000"/>
            </a:spcAft>
          </a:pPr>
          <a:r>
            <a:rPr lang="lv-LV" sz="800" kern="1200"/>
            <a:t>uzraudzības daļa</a:t>
          </a:r>
        </a:p>
      </dsp:txBody>
      <dsp:txXfrm>
        <a:off x="3660120" y="2478725"/>
        <a:ext cx="1147935" cy="573967"/>
      </dsp:txXfrm>
    </dsp:sp>
    <dsp:sp modelId="{F349691F-9834-47D8-A870-2749D1E77037}">
      <dsp:nvSpPr>
        <dsp:cNvPr id="0" name=""/>
        <dsp:cNvSpPr/>
      </dsp:nvSpPr>
      <dsp:spPr>
        <a:xfrm>
          <a:off x="5847362" y="838078"/>
          <a:ext cx="1147935" cy="573967"/>
        </a:xfrm>
        <a:prstGeom prst="rect">
          <a:avLst/>
        </a:prstGeom>
        <a:gradFill rotWithShape="0">
          <a:gsLst>
            <a:gs pos="0">
              <a:schemeClr val="accent1">
                <a:alpha val="70000"/>
                <a:hueOff val="0"/>
                <a:satOff val="0"/>
                <a:lumOff val="0"/>
                <a:alphaOff val="0"/>
                <a:tint val="50000"/>
                <a:satMod val="300000"/>
              </a:schemeClr>
            </a:gs>
            <a:gs pos="35000">
              <a:schemeClr val="accent1">
                <a:alpha val="70000"/>
                <a:hueOff val="0"/>
                <a:satOff val="0"/>
                <a:lumOff val="0"/>
                <a:alphaOff val="0"/>
                <a:tint val="37000"/>
                <a:satMod val="300000"/>
              </a:schemeClr>
            </a:gs>
            <a:gs pos="100000">
              <a:schemeClr val="accent1">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t>Patērētāju konsultāciju </a:t>
          </a:r>
        </a:p>
        <a:p>
          <a:pPr lvl="0" algn="ctr" defTabSz="355600">
            <a:lnSpc>
              <a:spcPct val="90000"/>
            </a:lnSpc>
            <a:spcBef>
              <a:spcPct val="0"/>
            </a:spcBef>
            <a:spcAft>
              <a:spcPct val="35000"/>
            </a:spcAft>
          </a:pPr>
          <a:r>
            <a:rPr lang="lv-LV" sz="800" kern="1200"/>
            <a:t>un sūdzību </a:t>
          </a:r>
        </a:p>
        <a:p>
          <a:pPr lvl="0" algn="ctr" defTabSz="355600">
            <a:lnSpc>
              <a:spcPct val="90000"/>
            </a:lnSpc>
            <a:spcBef>
              <a:spcPct val="0"/>
            </a:spcBef>
            <a:spcAft>
              <a:spcPct val="35000"/>
            </a:spcAft>
          </a:pPr>
          <a:r>
            <a:rPr lang="lv-LV" sz="800" kern="1200"/>
            <a:t>departaments </a:t>
          </a:r>
        </a:p>
      </dsp:txBody>
      <dsp:txXfrm>
        <a:off x="5847362" y="838078"/>
        <a:ext cx="1147935" cy="573967"/>
      </dsp:txXfrm>
    </dsp:sp>
    <dsp:sp modelId="{1B76F383-B7B4-4701-8BCF-7462FB7DC8BE}">
      <dsp:nvSpPr>
        <dsp:cNvPr id="0" name=""/>
        <dsp:cNvSpPr/>
      </dsp:nvSpPr>
      <dsp:spPr>
        <a:xfrm>
          <a:off x="5822038" y="1660924"/>
          <a:ext cx="1147935" cy="573967"/>
        </a:xfrm>
        <a:prstGeom prst="rect">
          <a:avLst/>
        </a:prstGeom>
        <a:gradFill rotWithShape="0">
          <a:gsLst>
            <a:gs pos="0">
              <a:schemeClr val="accent1">
                <a:alpha val="70000"/>
                <a:hueOff val="0"/>
                <a:satOff val="0"/>
                <a:lumOff val="0"/>
                <a:alphaOff val="0"/>
                <a:tint val="50000"/>
                <a:satMod val="300000"/>
              </a:schemeClr>
            </a:gs>
            <a:gs pos="35000">
              <a:schemeClr val="accent1">
                <a:alpha val="70000"/>
                <a:hueOff val="0"/>
                <a:satOff val="0"/>
                <a:lumOff val="0"/>
                <a:alphaOff val="0"/>
                <a:tint val="37000"/>
                <a:satMod val="300000"/>
              </a:schemeClr>
            </a:gs>
            <a:gs pos="100000">
              <a:schemeClr val="accent1">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t>Patērētāju informēšanas un komunikāciju daļa </a:t>
          </a:r>
        </a:p>
      </dsp:txBody>
      <dsp:txXfrm>
        <a:off x="5822038" y="1660924"/>
        <a:ext cx="1147935" cy="573967"/>
      </dsp:txXfrm>
    </dsp:sp>
    <dsp:sp modelId="{4B7CA603-BFA2-4F5C-A47D-5B60F3E428BB}">
      <dsp:nvSpPr>
        <dsp:cNvPr id="0" name=""/>
        <dsp:cNvSpPr/>
      </dsp:nvSpPr>
      <dsp:spPr>
        <a:xfrm>
          <a:off x="5829316" y="2438869"/>
          <a:ext cx="1147935" cy="573967"/>
        </a:xfrm>
        <a:prstGeom prst="rect">
          <a:avLst/>
        </a:prstGeom>
        <a:gradFill rotWithShape="0">
          <a:gsLst>
            <a:gs pos="0">
              <a:schemeClr val="accent1">
                <a:alpha val="70000"/>
                <a:hueOff val="0"/>
                <a:satOff val="0"/>
                <a:lumOff val="0"/>
                <a:alphaOff val="0"/>
                <a:tint val="50000"/>
                <a:satMod val="300000"/>
              </a:schemeClr>
            </a:gs>
            <a:gs pos="35000">
              <a:schemeClr val="accent1">
                <a:alpha val="70000"/>
                <a:hueOff val="0"/>
                <a:satOff val="0"/>
                <a:lumOff val="0"/>
                <a:alphaOff val="0"/>
                <a:tint val="37000"/>
                <a:satMod val="300000"/>
              </a:schemeClr>
            </a:gs>
            <a:gs pos="100000">
              <a:schemeClr val="accent1">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t>ES Patērētāju </a:t>
          </a:r>
        </a:p>
        <a:p>
          <a:pPr lvl="0" algn="ctr" defTabSz="355600">
            <a:lnSpc>
              <a:spcPct val="90000"/>
            </a:lnSpc>
            <a:spcBef>
              <a:spcPct val="0"/>
            </a:spcBef>
            <a:spcAft>
              <a:spcPct val="35000"/>
            </a:spcAft>
          </a:pPr>
          <a:r>
            <a:rPr lang="lv-LV" sz="800" kern="1200"/>
            <a:t>informēšanas centrs </a:t>
          </a:r>
        </a:p>
      </dsp:txBody>
      <dsp:txXfrm>
        <a:off x="5829316" y="2438869"/>
        <a:ext cx="1147935" cy="573967"/>
      </dsp:txXfrm>
    </dsp:sp>
    <dsp:sp modelId="{600EB0A5-A472-41AD-A7B3-09B8EE2C11F6}">
      <dsp:nvSpPr>
        <dsp:cNvPr id="0" name=""/>
        <dsp:cNvSpPr/>
      </dsp:nvSpPr>
      <dsp:spPr>
        <a:xfrm>
          <a:off x="5816988" y="3292032"/>
          <a:ext cx="1147935" cy="573967"/>
        </a:xfrm>
        <a:prstGeom prst="rect">
          <a:avLst/>
        </a:prstGeom>
        <a:gradFill rotWithShape="0">
          <a:gsLst>
            <a:gs pos="0">
              <a:schemeClr val="accent1">
                <a:alpha val="70000"/>
                <a:hueOff val="0"/>
                <a:satOff val="0"/>
                <a:lumOff val="0"/>
                <a:alphaOff val="0"/>
                <a:tint val="50000"/>
                <a:satMod val="300000"/>
              </a:schemeClr>
            </a:gs>
            <a:gs pos="35000">
              <a:schemeClr val="accent1">
                <a:alpha val="70000"/>
                <a:hueOff val="0"/>
                <a:satOff val="0"/>
                <a:lumOff val="0"/>
                <a:alphaOff val="0"/>
                <a:tint val="37000"/>
                <a:satMod val="300000"/>
              </a:schemeClr>
            </a:gs>
            <a:gs pos="100000">
              <a:schemeClr val="accent1">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t>Daugavpils reģionālā pārvalde</a:t>
          </a:r>
        </a:p>
      </dsp:txBody>
      <dsp:txXfrm>
        <a:off x="5816988" y="3292032"/>
        <a:ext cx="1147935" cy="57396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55A28-B627-4257-9181-B396E5BDC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99659</Words>
  <Characters>56806</Characters>
  <Application>Microsoft Office Word</Application>
  <DocSecurity>0</DocSecurity>
  <Lines>473</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dc:creator>
  <cp:lastModifiedBy>Ilze Žunde</cp:lastModifiedBy>
  <cp:revision>7</cp:revision>
  <cp:lastPrinted>2014-07-11T12:35:00Z</cp:lastPrinted>
  <dcterms:created xsi:type="dcterms:W3CDTF">2014-07-11T12:30:00Z</dcterms:created>
  <dcterms:modified xsi:type="dcterms:W3CDTF">2014-07-11T12:38:00Z</dcterms:modified>
</cp:coreProperties>
</file>